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6B" w:rsidRDefault="00C51A6B">
      <w:pPr>
        <w:pStyle w:val="Titre1"/>
        <w:ind w:left="-426" w:firstLine="426"/>
        <w:jc w:val="center"/>
        <w:rPr>
          <w:sz w:val="28"/>
        </w:rPr>
      </w:pPr>
    </w:p>
    <w:p w:rsidR="007A7653" w:rsidRDefault="007A7653" w:rsidP="007A7653"/>
    <w:p w:rsidR="007A7653" w:rsidRPr="007A7653" w:rsidRDefault="005416BB" w:rsidP="007A7653">
      <w:r w:rsidRPr="005416BB">
        <w:rPr>
          <w:noProof/>
          <w:sz w:val="20"/>
        </w:rPr>
        <w:pict>
          <v:shapetype id="_x0000_t202" coordsize="21600,21600" o:spt="202" path="m,l,21600r21600,l21600,xe">
            <v:stroke joinstyle="miter"/>
            <v:path gradientshapeok="t" o:connecttype="rect"/>
          </v:shapetype>
          <v:shape id="_x0000_s1034" type="#_x0000_t202" style="position:absolute;margin-left:-27.55pt;margin-top:6.1pt;width:549pt;height:99.95pt;z-index:251656192" o:allowincell="f" stroked="f">
            <v:imagedata embosscolor="shadow add(51)"/>
            <v:shadow on="t" type="emboss" color="lineOrFill darken(153)" color2="shadow add(102)" offset="1pt,1pt"/>
            <v:textbox style="mso-next-textbox:#_x0000_s1034">
              <w:txbxContent>
                <w:p w:rsidR="00B63DD7" w:rsidRPr="002C7372" w:rsidRDefault="00B63DD7">
                  <w:pPr>
                    <w:pStyle w:val="Titre1"/>
                    <w:tabs>
                      <w:tab w:val="left" w:pos="567"/>
                    </w:tabs>
                    <w:ind w:left="-426" w:firstLine="426"/>
                    <w:jc w:val="center"/>
                    <w:rPr>
                      <w:b/>
                      <w:i/>
                      <w:sz w:val="36"/>
                      <w:szCs w:val="36"/>
                    </w:rPr>
                  </w:pPr>
                  <w:r>
                    <w:rPr>
                      <w:b/>
                      <w:i/>
                      <w:sz w:val="36"/>
                      <w:szCs w:val="36"/>
                    </w:rPr>
                    <w:t>GROUPE HOTELLERIE, TOURISME &amp; THERMALISME</w:t>
                  </w:r>
                </w:p>
                <w:p w:rsidR="00B63DD7" w:rsidRDefault="00B63DD7"/>
                <w:p w:rsidR="00B63DD7" w:rsidRPr="00F4224E" w:rsidRDefault="00B63DD7">
                  <w:pPr>
                    <w:pStyle w:val="Titre1"/>
                    <w:tabs>
                      <w:tab w:val="left" w:pos="567"/>
                    </w:tabs>
                    <w:ind w:left="-426" w:firstLine="426"/>
                    <w:jc w:val="center"/>
                    <w:rPr>
                      <w:b/>
                      <w:i/>
                      <w:sz w:val="36"/>
                      <w:szCs w:val="36"/>
                    </w:rPr>
                  </w:pPr>
                  <w:r w:rsidRPr="00F4224E">
                    <w:rPr>
                      <w:b/>
                      <w:i/>
                      <w:sz w:val="36"/>
                      <w:szCs w:val="36"/>
                    </w:rPr>
                    <w:t>ENTREPRISE</w:t>
                  </w:r>
                  <w:r>
                    <w:rPr>
                      <w:b/>
                      <w:i/>
                      <w:sz w:val="36"/>
                      <w:szCs w:val="36"/>
                    </w:rPr>
                    <w:t xml:space="preserve"> DE GESTION HOTELIERE CHAINE EL-</w:t>
                  </w:r>
                  <w:r w:rsidRPr="00F4224E">
                    <w:rPr>
                      <w:b/>
                      <w:i/>
                      <w:sz w:val="36"/>
                      <w:szCs w:val="36"/>
                    </w:rPr>
                    <w:t>AURASSI</w:t>
                  </w:r>
                </w:p>
                <w:p w:rsidR="00B63DD7" w:rsidRPr="00F4224E" w:rsidRDefault="00B63DD7">
                  <w:pPr>
                    <w:pStyle w:val="Titre2"/>
                    <w:rPr>
                      <w:sz w:val="36"/>
                      <w:szCs w:val="36"/>
                    </w:rPr>
                  </w:pPr>
                  <w:r w:rsidRPr="00F4224E">
                    <w:rPr>
                      <w:sz w:val="36"/>
                      <w:szCs w:val="36"/>
                    </w:rPr>
                    <w:t>SOCIETE PAR ACTIONS AU CAPITAL DE</w:t>
                  </w:r>
                  <w:r>
                    <w:rPr>
                      <w:sz w:val="36"/>
                      <w:szCs w:val="36"/>
                    </w:rPr>
                    <w:t> :</w:t>
                  </w:r>
                  <w:r w:rsidRPr="00F4224E">
                    <w:rPr>
                      <w:sz w:val="36"/>
                      <w:szCs w:val="36"/>
                    </w:rPr>
                    <w:t xml:space="preserve"> 1.500.000.000 DA</w:t>
                  </w:r>
                </w:p>
              </w:txbxContent>
            </v:textbox>
          </v:shape>
        </w:pict>
      </w:r>
    </w:p>
    <w:p w:rsidR="00923E25" w:rsidRPr="00923E25" w:rsidRDefault="00923E25" w:rsidP="00923E25"/>
    <w:p w:rsidR="00AE224E" w:rsidRDefault="005416BB">
      <w:pPr>
        <w:pStyle w:val="Titre1"/>
        <w:ind w:left="-426" w:firstLine="426"/>
        <w:jc w:val="center"/>
        <w:rPr>
          <w:sz w:val="28"/>
        </w:rPr>
      </w:pPr>
      <w:r w:rsidRPr="005416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2.45pt;margin-top:309.4pt;width:495pt;height:225.75pt;z-index:251652096" o:allowincell="f" fillcolor="black">
            <v:shadow color="#868686"/>
            <v:textpath style="font-family:&quot;Algerian&quot;;font-size:16pt;font-weight:bold;v-text-kern:t" trim="t" fitpath="t" string="         RAPPORT DE GESTION DU CONSEIL&#10;         D'ADMINISTRATION PORTANT SUR&#10;           LE PREMIER SEMESTRE 2022&#10;&#10;"/>
          </v:shape>
        </w:pict>
      </w:r>
      <w:r w:rsidRPr="005416BB">
        <w:rPr>
          <w:noProof/>
        </w:rPr>
        <w:pict>
          <v:line id="_x0000_s1033" style="position:absolute;left:0;text-align:left;flip:y;z-index:251655168" from="-9.55pt,52.95pt" to="503.45pt,52.95pt" o:allowincell="f" strokeweight="4.5pt">
            <v:stroke linestyle="thinThick"/>
          </v:line>
        </w:pict>
      </w:r>
    </w:p>
    <w:p w:rsidR="00D834C9" w:rsidRDefault="00D834C9">
      <w:pPr>
        <w:pStyle w:val="En-tte"/>
        <w:tabs>
          <w:tab w:val="clear" w:pos="4153"/>
          <w:tab w:val="clear" w:pos="8306"/>
          <w:tab w:val="right" w:pos="9710"/>
          <w:tab w:val="right" w:pos="10560"/>
        </w:tabs>
        <w:ind w:left="212" w:hanging="851"/>
        <w:jc w:val="left"/>
        <w:rPr>
          <w:rFonts w:ascii="Arial Black" w:hAnsi="Arial Black"/>
          <w:color w:val="000000"/>
          <w:sz w:val="28"/>
        </w:rPr>
      </w:pPr>
    </w:p>
    <w:p w:rsidR="00D834C9" w:rsidRPr="00D834C9" w:rsidRDefault="00D834C9" w:rsidP="00D834C9"/>
    <w:p w:rsidR="00D834C9" w:rsidRPr="00D834C9" w:rsidRDefault="00D834C9" w:rsidP="00D834C9"/>
    <w:p w:rsidR="00D834C9" w:rsidRPr="00D834C9" w:rsidRDefault="00D834C9" w:rsidP="00D834C9"/>
    <w:p w:rsidR="00D834C9" w:rsidRPr="00D834C9" w:rsidRDefault="00D834C9" w:rsidP="00D834C9"/>
    <w:p w:rsidR="00D834C9" w:rsidRPr="00D834C9" w:rsidRDefault="00452E52" w:rsidP="00D834C9">
      <w:r>
        <w:rPr>
          <w:noProof/>
        </w:rPr>
        <w:drawing>
          <wp:anchor distT="0" distB="0" distL="114300" distR="114300" simplePos="0" relativeHeight="251651072" behindDoc="1" locked="0" layoutInCell="0" allowOverlap="1">
            <wp:simplePos x="0" y="0"/>
            <wp:positionH relativeFrom="column">
              <wp:posOffset>671830</wp:posOffset>
            </wp:positionH>
            <wp:positionV relativeFrom="paragraph">
              <wp:posOffset>121285</wp:posOffset>
            </wp:positionV>
            <wp:extent cx="5308600" cy="6881495"/>
            <wp:effectExtent l="19050" t="0" r="6350" b="0"/>
            <wp:wrapThrough wrapText="left">
              <wp:wrapPolygon edited="0">
                <wp:start x="-78" y="0"/>
                <wp:lineTo x="-78" y="21466"/>
                <wp:lineTo x="21626" y="21466"/>
                <wp:lineTo x="21626" y="0"/>
                <wp:lineTo x="-78"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clrChange>
                        <a:clrFrom>
                          <a:srgbClr val="F7FFD8"/>
                        </a:clrFrom>
                        <a:clrTo>
                          <a:srgbClr val="F7FFD8">
                            <a:alpha val="0"/>
                          </a:srgbClr>
                        </a:clrTo>
                      </a:clrChange>
                      <a:lum bright="70000" contrast="-70000"/>
                      <a:alphaModFix am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8600" cy="6881495"/>
                    </a:xfrm>
                    <a:prstGeom prst="rect">
                      <a:avLst/>
                    </a:prstGeom>
                    <a:noFill/>
                  </pic:spPr>
                </pic:pic>
              </a:graphicData>
            </a:graphic>
          </wp:anchor>
        </w:drawing>
      </w:r>
    </w:p>
    <w:p w:rsidR="00D834C9" w:rsidRPr="00D834C9" w:rsidRDefault="00D834C9" w:rsidP="00D834C9"/>
    <w:p w:rsidR="00D834C9" w:rsidRPr="00D834C9" w:rsidRDefault="00D834C9" w:rsidP="00D834C9"/>
    <w:p w:rsidR="00D834C9" w:rsidRPr="00D834C9" w:rsidRDefault="00D834C9" w:rsidP="00D834C9">
      <w:pPr>
        <w:jc w:val="right"/>
      </w:pPr>
    </w:p>
    <w:p w:rsidR="00D834C9" w:rsidRDefault="005416BB" w:rsidP="00D834C9">
      <w:r>
        <w:rPr>
          <w:noProof/>
        </w:rPr>
        <w:pict>
          <v:shape id="_x0000_s1031" type="#_x0000_t202" style="position:absolute;margin-left:-5.05pt;margin-top:529.9pt;width:513pt;height:51.35pt;z-index:251653120" o:allowincell="f" filled="f" stroked="f">
            <v:fill opacity=".5"/>
            <v:textbox style="mso-next-textbox:#_x0000_s1031">
              <w:txbxContent>
                <w:p w:rsidR="00B63DD7" w:rsidRPr="001D22F0" w:rsidRDefault="00B63DD7" w:rsidP="001D22F0">
                  <w:pPr>
                    <w:pStyle w:val="Titre3"/>
                    <w:jc w:val="center"/>
                    <w:rPr>
                      <w:b w:val="0"/>
                      <w:i/>
                      <w:spacing w:val="40"/>
                      <w:sz w:val="24"/>
                    </w:rPr>
                  </w:pPr>
                  <w:r>
                    <w:rPr>
                      <w:b w:val="0"/>
                      <w:i/>
                      <w:spacing w:val="40"/>
                      <w:sz w:val="24"/>
                    </w:rPr>
                    <w:t>Siège Social </w:t>
                  </w:r>
                  <w:proofErr w:type="gramStart"/>
                  <w:r>
                    <w:rPr>
                      <w:b w:val="0"/>
                      <w:i/>
                      <w:spacing w:val="40"/>
                      <w:sz w:val="24"/>
                    </w:rPr>
                    <w:t>:02</w:t>
                  </w:r>
                  <w:proofErr w:type="gramEnd"/>
                  <w:r>
                    <w:rPr>
                      <w:b w:val="0"/>
                      <w:i/>
                      <w:spacing w:val="40"/>
                      <w:sz w:val="24"/>
                    </w:rPr>
                    <w:t xml:space="preserve"> Bd FRANTZ FANON 16004– LES TAGARINS ALGER</w:t>
                  </w:r>
                </w:p>
              </w:txbxContent>
            </v:textbox>
          </v:shape>
        </w:pict>
      </w:r>
      <w:r>
        <w:rPr>
          <w:noProof/>
        </w:rPr>
        <w:pict>
          <v:shape id="_x0000_s1032" type="#_x0000_t202" style="position:absolute;margin-left:317.4pt;margin-top:507.2pt;width:180.3pt;height:27pt;z-index:251654144" o:allowincell="f" filled="f" stroked="f">
            <v:fill opacity=".5"/>
            <v:textbox style="mso-next-textbox:#_x0000_s1032">
              <w:txbxContent>
                <w:p w:rsidR="00B63DD7" w:rsidRDefault="00B63DD7" w:rsidP="00C94DA6">
                  <w:pPr>
                    <w:pStyle w:val="Titre4"/>
                    <w:rPr>
                      <w:b w:val="0"/>
                    </w:rPr>
                  </w:pPr>
                  <w:r>
                    <w:rPr>
                      <w:b w:val="0"/>
                    </w:rPr>
                    <w:t>OCTOBRE   2022</w:t>
                  </w:r>
                </w:p>
                <w:p w:rsidR="00B63DD7" w:rsidRDefault="00B63DD7" w:rsidP="001D22F0"/>
                <w:p w:rsidR="00B63DD7" w:rsidRPr="001D22F0" w:rsidRDefault="00B63DD7" w:rsidP="001D22F0"/>
                <w:p w:rsidR="00B63DD7" w:rsidRDefault="00B63DD7" w:rsidP="001D22F0"/>
                <w:p w:rsidR="00B63DD7" w:rsidRDefault="00B63DD7" w:rsidP="001D22F0"/>
                <w:p w:rsidR="00B63DD7" w:rsidRDefault="00B63DD7" w:rsidP="001D22F0"/>
                <w:p w:rsidR="00B63DD7" w:rsidRDefault="00B63DD7" w:rsidP="001D22F0"/>
                <w:p w:rsidR="00B63DD7" w:rsidRPr="001D22F0" w:rsidRDefault="00B63DD7" w:rsidP="001D22F0"/>
              </w:txbxContent>
            </v:textbox>
          </v:shape>
        </w:pict>
      </w:r>
    </w:p>
    <w:p w:rsidR="00AE224E" w:rsidRPr="00D834C9" w:rsidRDefault="00AE224E" w:rsidP="00D834C9">
      <w:pPr>
        <w:sectPr w:rsidR="00AE224E" w:rsidRPr="00D834C9">
          <w:footerReference w:type="first" r:id="rId9"/>
          <w:type w:val="evenPage"/>
          <w:pgSz w:w="11906" w:h="16838"/>
          <w:pgMar w:top="397" w:right="709" w:bottom="425" w:left="992" w:header="624" w:footer="851" w:gutter="0"/>
          <w:cols w:space="720"/>
          <w:titlePg/>
        </w:sectPr>
      </w:pPr>
    </w:p>
    <w:p w:rsidR="000D6D2C" w:rsidRDefault="000D6D2C" w:rsidP="000D6D2C">
      <w:pPr>
        <w:pStyle w:val="Titre11"/>
        <w:keepNext/>
        <w:keepLines/>
        <w:rPr>
          <w:lang w:val="fr-FR"/>
        </w:rPr>
      </w:pPr>
      <w:bookmarkStart w:id="0" w:name="bookmark0"/>
    </w:p>
    <w:p w:rsidR="000D6D2C" w:rsidRPr="003E373C" w:rsidRDefault="000D6D2C" w:rsidP="000D6D2C">
      <w:pPr>
        <w:pStyle w:val="Titre11"/>
        <w:keepNext/>
        <w:keepLines/>
        <w:rPr>
          <w:lang w:val="fr-FR"/>
        </w:rPr>
      </w:pPr>
      <w:r w:rsidRPr="003E373C">
        <w:rPr>
          <w:lang w:val="fr-FR"/>
        </w:rPr>
        <w:t>SOMMAIRE</w:t>
      </w:r>
      <w:bookmarkEnd w:id="0"/>
    </w:p>
    <w:p w:rsidR="000D6D2C" w:rsidRDefault="000D6D2C" w:rsidP="000D6D2C">
      <w:pPr>
        <w:pStyle w:val="Titre21"/>
        <w:keepNext/>
        <w:keepLines/>
        <w:spacing w:after="580"/>
        <w:ind w:left="740" w:hanging="740"/>
      </w:pPr>
      <w:bookmarkStart w:id="1" w:name="bookmark2"/>
      <w:r>
        <w:rPr>
          <w:color w:val="B9B966"/>
          <w:u w:val="none"/>
        </w:rPr>
        <w:t xml:space="preserve">1 </w:t>
      </w:r>
      <w:r>
        <w:rPr>
          <w:u w:val="none"/>
        </w:rPr>
        <w:t>/</w:t>
      </w:r>
      <w:r>
        <w:rPr>
          <w:color w:val="000000"/>
          <w:u w:val="none"/>
        </w:rPr>
        <w:t>-</w:t>
      </w:r>
      <w:r>
        <w:t>BILAN D’APPLICATION DES RESOLUTIONS DE L’ASSEMBLEE GENERALE ORDINAIRE DE LA CHAINE EGH EL-AURASSI.</w:t>
      </w:r>
      <w:bookmarkEnd w:id="1"/>
    </w:p>
    <w:p w:rsidR="000D6D2C" w:rsidRDefault="000D6D2C" w:rsidP="000D6D2C">
      <w:pPr>
        <w:pStyle w:val="Texteducorps0"/>
        <w:spacing w:after="120"/>
      </w:pPr>
      <w:r>
        <w:t>1-1 /:Les procédures de gestion</w:t>
      </w:r>
    </w:p>
    <w:p w:rsidR="000D6D2C" w:rsidRDefault="000D6D2C" w:rsidP="000D6D2C">
      <w:pPr>
        <w:pStyle w:val="Texteducorps0"/>
        <w:spacing w:after="240"/>
      </w:pPr>
      <w:r>
        <w:t>1-2 / : L'audit interne</w:t>
      </w:r>
    </w:p>
    <w:p w:rsidR="000D6D2C" w:rsidRDefault="00AE3470" w:rsidP="000D6D2C">
      <w:pPr>
        <w:pStyle w:val="Texteducorps0"/>
        <w:spacing w:after="320"/>
      </w:pPr>
      <w:r>
        <w:t>1-3 / L’assainissement des comptes de dettes et de créances des unités du Sud</w:t>
      </w:r>
    </w:p>
    <w:p w:rsidR="000D6D2C" w:rsidRDefault="00AE3470" w:rsidP="000D6D2C">
      <w:pPr>
        <w:pStyle w:val="Texteducorps0"/>
        <w:spacing w:after="420"/>
      </w:pPr>
      <w:r>
        <w:t xml:space="preserve">1-4/ </w:t>
      </w:r>
      <w:proofErr w:type="gramStart"/>
      <w:r>
        <w:t>:Le</w:t>
      </w:r>
      <w:proofErr w:type="gramEnd"/>
      <w:r>
        <w:t xml:space="preserve"> programme de réhabilitation de l’entité EL-</w:t>
      </w:r>
      <w:proofErr w:type="spellStart"/>
      <w:r>
        <w:t>Aurassi</w:t>
      </w:r>
      <w:proofErr w:type="spellEnd"/>
    </w:p>
    <w:p w:rsidR="000D6D2C" w:rsidRDefault="00AE3470" w:rsidP="000D6D2C">
      <w:pPr>
        <w:pStyle w:val="Texteducorps0"/>
        <w:spacing w:after="320"/>
      </w:pPr>
      <w:r>
        <w:t xml:space="preserve">1-5/ </w:t>
      </w:r>
      <w:proofErr w:type="gramStart"/>
      <w:r>
        <w:t>:Les</w:t>
      </w:r>
      <w:proofErr w:type="gramEnd"/>
      <w:r>
        <w:t xml:space="preserve"> immobilisations en cours relatives aux travaux de rénovation de l’entité </w:t>
      </w:r>
    </w:p>
    <w:p w:rsidR="00AE3470" w:rsidRDefault="00AE3470" w:rsidP="000D6D2C">
      <w:pPr>
        <w:pStyle w:val="Texteducorps0"/>
        <w:spacing w:after="320"/>
      </w:pPr>
      <w:r>
        <w:t>EL-</w:t>
      </w:r>
      <w:proofErr w:type="spellStart"/>
      <w:r>
        <w:t>Aurassi</w:t>
      </w:r>
      <w:proofErr w:type="spellEnd"/>
      <w:r>
        <w:t>.</w:t>
      </w:r>
    </w:p>
    <w:p w:rsidR="000D6D2C" w:rsidRDefault="00AE3470" w:rsidP="000D6D2C">
      <w:pPr>
        <w:pStyle w:val="Texteducorps0"/>
        <w:spacing w:after="180"/>
      </w:pPr>
      <w:r>
        <w:t>1-6/ : Le programme de modernisation des unités du Sud</w:t>
      </w:r>
      <w:r w:rsidR="00A42115">
        <w:br/>
      </w:r>
      <w:r w:rsidR="00D27023">
        <w:rPr>
          <w:b w:val="0"/>
          <w:bCs w:val="0"/>
          <w:u w:val="none"/>
        </w:rPr>
        <w:br/>
      </w:r>
      <w:r w:rsidR="00A42115">
        <w:t>1-7</w:t>
      </w:r>
      <w:r>
        <w:t xml:space="preserve">/ : Evaluation du processus d’application du Système Comptable Financier </w:t>
      </w:r>
    </w:p>
    <w:p w:rsidR="00AE3470" w:rsidRDefault="00AE3470" w:rsidP="00AE3470">
      <w:pPr>
        <w:pStyle w:val="Texteducorps0"/>
        <w:spacing w:after="180"/>
        <w:ind w:firstLine="0"/>
      </w:pPr>
      <w:r>
        <w:t xml:space="preserve">1-8 / : Autres </w:t>
      </w:r>
      <w:proofErr w:type="gramStart"/>
      <w:r>
        <w:t>remarques ,</w:t>
      </w:r>
      <w:proofErr w:type="gramEnd"/>
      <w:r>
        <w:t xml:space="preserve"> observations et recommandations émises par le commissaire aux comptes</w:t>
      </w:r>
    </w:p>
    <w:p w:rsidR="00AE3470" w:rsidRDefault="00AE3470" w:rsidP="00AE3470">
      <w:pPr>
        <w:pStyle w:val="Texteducorps0"/>
        <w:numPr>
          <w:ilvl w:val="0"/>
          <w:numId w:val="31"/>
        </w:numPr>
        <w:spacing w:after="180"/>
      </w:pPr>
      <w:r>
        <w:t xml:space="preserve">Mise en conformité des statuts </w:t>
      </w:r>
    </w:p>
    <w:p w:rsidR="00AE3470" w:rsidRDefault="00AE3470" w:rsidP="00AE3470">
      <w:pPr>
        <w:pStyle w:val="Texteducorps0"/>
        <w:numPr>
          <w:ilvl w:val="0"/>
          <w:numId w:val="31"/>
        </w:numPr>
        <w:spacing w:after="180"/>
      </w:pPr>
      <w:r>
        <w:t xml:space="preserve">Modification du registre de commerce </w:t>
      </w:r>
    </w:p>
    <w:p w:rsidR="00AE3470" w:rsidRDefault="00AE3470" w:rsidP="00AE3470">
      <w:pPr>
        <w:pStyle w:val="Texteducorps0"/>
        <w:numPr>
          <w:ilvl w:val="0"/>
          <w:numId w:val="31"/>
        </w:numPr>
        <w:spacing w:after="180"/>
      </w:pPr>
      <w:r>
        <w:t xml:space="preserve">Effectifs par unité &amp; Organisation de l’Entreprise </w:t>
      </w:r>
    </w:p>
    <w:p w:rsidR="00AE3470" w:rsidRDefault="00AE3470" w:rsidP="00AE3470">
      <w:pPr>
        <w:pStyle w:val="Texteducorps0"/>
        <w:numPr>
          <w:ilvl w:val="0"/>
          <w:numId w:val="31"/>
        </w:numPr>
        <w:spacing w:after="180"/>
      </w:pPr>
      <w:r>
        <w:t>Suivi des recommandations formulées l’année précédente</w:t>
      </w:r>
    </w:p>
    <w:p w:rsidR="00AE3470" w:rsidRPr="00A42115" w:rsidRDefault="00AE3470" w:rsidP="00AE3470">
      <w:pPr>
        <w:pStyle w:val="Texteducorps0"/>
        <w:numPr>
          <w:ilvl w:val="0"/>
          <w:numId w:val="31"/>
        </w:numPr>
        <w:spacing w:after="180"/>
      </w:pPr>
      <w:r>
        <w:t xml:space="preserve">Observations sur le plan du contrôle interne  </w:t>
      </w:r>
    </w:p>
    <w:p w:rsidR="000D6D2C" w:rsidRDefault="000D6D2C" w:rsidP="000D6D2C">
      <w:pPr>
        <w:pStyle w:val="Titre21"/>
        <w:keepNext/>
        <w:keepLines/>
        <w:spacing w:after="420"/>
        <w:ind w:left="0"/>
      </w:pPr>
      <w:bookmarkStart w:id="2" w:name="bookmark4"/>
      <w:r>
        <w:rPr>
          <w:color w:val="B9B966"/>
          <w:u w:val="none"/>
        </w:rPr>
        <w:t>2/</w:t>
      </w:r>
      <w:r>
        <w:rPr>
          <w:color w:val="000000"/>
          <w:u w:val="none"/>
        </w:rPr>
        <w:t>-</w:t>
      </w:r>
      <w:r w:rsidR="00A42115">
        <w:t>LES A</w:t>
      </w:r>
      <w:r>
        <w:t>CTIVITES DU CONSEIL D’ADMINISTRATION</w:t>
      </w:r>
      <w:bookmarkEnd w:id="2"/>
    </w:p>
    <w:p w:rsidR="000D6D2C" w:rsidRDefault="000D6D2C" w:rsidP="000D6D2C">
      <w:pPr>
        <w:pStyle w:val="Texteducorps0"/>
        <w:spacing w:after="120"/>
      </w:pPr>
      <w:r>
        <w:t>2-1 / Liste des cadres dirigeants de la SPA EGH CHAINE EL-AURASSI</w:t>
      </w:r>
      <w:r>
        <w:br/>
      </w:r>
    </w:p>
    <w:p w:rsidR="000D6D2C" w:rsidRDefault="000D6D2C" w:rsidP="000D6D2C">
      <w:pPr>
        <w:pStyle w:val="Texteducorps0"/>
        <w:spacing w:after="520"/>
      </w:pPr>
      <w:r>
        <w:t>2-2 / Faits sa</w:t>
      </w:r>
      <w:r w:rsidR="00A42115">
        <w:t>illants du premier semestre 2021</w:t>
      </w:r>
    </w:p>
    <w:p w:rsidR="000D6D2C" w:rsidRDefault="000D6D2C" w:rsidP="000D6D2C">
      <w:pPr>
        <w:pStyle w:val="Titre21"/>
        <w:keepNext/>
        <w:keepLines/>
        <w:spacing w:after="320"/>
        <w:ind w:left="0"/>
      </w:pPr>
      <w:bookmarkStart w:id="3" w:name="bookmark6"/>
      <w:r>
        <w:rPr>
          <w:color w:val="B9B966"/>
          <w:u w:val="none"/>
        </w:rPr>
        <w:t>3/</w:t>
      </w:r>
      <w:r>
        <w:rPr>
          <w:color w:val="000000"/>
          <w:u w:val="none"/>
        </w:rPr>
        <w:t xml:space="preserve">- </w:t>
      </w:r>
      <w:r>
        <w:t>ANALYSE DE LA SITUATION FINANCIERE DE L’ENTREPRISE</w:t>
      </w:r>
      <w:bookmarkEnd w:id="3"/>
    </w:p>
    <w:p w:rsidR="000D6D2C" w:rsidRDefault="000D6D2C" w:rsidP="000D6D2C">
      <w:pPr>
        <w:pStyle w:val="Texteducorps0"/>
        <w:spacing w:after="0"/>
      </w:pPr>
      <w:r>
        <w:t>3-1 / Examen des comptes du bilan arrêtés au 30/06/2022</w:t>
      </w:r>
    </w:p>
    <w:p w:rsidR="00AE3470" w:rsidRDefault="00AE3470" w:rsidP="000D6D2C">
      <w:pPr>
        <w:pStyle w:val="Texteducorps0"/>
        <w:spacing w:after="0"/>
      </w:pPr>
    </w:p>
    <w:p w:rsidR="000D6D2C" w:rsidRDefault="000D6D2C" w:rsidP="000D6D2C">
      <w:pPr>
        <w:pStyle w:val="Texteducorps0"/>
        <w:tabs>
          <w:tab w:val="left" w:leader="hyphen" w:pos="2901"/>
          <w:tab w:val="left" w:leader="hyphen" w:pos="7043"/>
        </w:tabs>
        <w:spacing w:after="40" w:line="214" w:lineRule="auto"/>
        <w:ind w:firstLine="0"/>
      </w:pPr>
    </w:p>
    <w:p w:rsidR="000D6D2C" w:rsidRDefault="000D6D2C" w:rsidP="000D6D2C">
      <w:pPr>
        <w:pStyle w:val="Texteducorps0"/>
        <w:spacing w:after="420" w:line="199" w:lineRule="auto"/>
        <w:ind w:firstLine="0"/>
      </w:pPr>
      <w:r>
        <w:lastRenderedPageBreak/>
        <w:t>3-1-1-/ L’Actif</w:t>
      </w:r>
    </w:p>
    <w:p w:rsidR="000D6D2C" w:rsidRDefault="000D6D2C" w:rsidP="000D6D2C">
      <w:pPr>
        <w:pStyle w:val="Texteducorps0"/>
        <w:spacing w:after="120"/>
        <w:ind w:firstLine="600"/>
      </w:pPr>
      <w:r>
        <w:t>3-1-1-1 / Les actifs non courants</w:t>
      </w:r>
    </w:p>
    <w:p w:rsidR="000D6D2C" w:rsidRDefault="000D6D2C" w:rsidP="000D6D2C">
      <w:pPr>
        <w:pStyle w:val="Texteducorps0"/>
        <w:spacing w:after="120"/>
        <w:ind w:firstLine="600"/>
      </w:pPr>
      <w:r>
        <w:t>3-1-1-2 / Les stocks</w:t>
      </w:r>
    </w:p>
    <w:p w:rsidR="000D6D2C" w:rsidRDefault="000D6D2C" w:rsidP="000D6D2C">
      <w:pPr>
        <w:pStyle w:val="Texteducorps0"/>
        <w:spacing w:after="320"/>
        <w:ind w:firstLine="600"/>
      </w:pPr>
      <w:r>
        <w:t>3-1-1-3 / Les créances &amp; emplois assimilés</w:t>
      </w:r>
    </w:p>
    <w:p w:rsidR="000D6D2C" w:rsidRDefault="000D6D2C" w:rsidP="000D6D2C">
      <w:pPr>
        <w:pStyle w:val="Texteducorps0"/>
        <w:ind w:firstLine="0"/>
      </w:pPr>
      <w:r w:rsidRPr="003E373C">
        <w:rPr>
          <w:lang w:eastAsia="en-US" w:bidi="en-US"/>
        </w:rPr>
        <w:t>3-1-2-/ Le Passif</w:t>
      </w:r>
    </w:p>
    <w:p w:rsidR="000D6D2C" w:rsidRDefault="000D6D2C" w:rsidP="000D6D2C">
      <w:pPr>
        <w:pStyle w:val="Texteducorps0"/>
        <w:spacing w:after="680"/>
        <w:ind w:firstLine="600"/>
      </w:pPr>
      <w:r w:rsidRPr="003E373C">
        <w:rPr>
          <w:lang w:eastAsia="en-US" w:bidi="en-US"/>
        </w:rPr>
        <w:t xml:space="preserve">3-1-2-1 / </w:t>
      </w:r>
      <w:r>
        <w:t>Capitaux Propres</w:t>
      </w:r>
      <w:r>
        <w:br/>
      </w:r>
      <w:r>
        <w:br/>
        <w:t>3-1-2-2 / Les passifs non courants</w:t>
      </w:r>
      <w:r>
        <w:br/>
      </w:r>
      <w:r>
        <w:br/>
        <w:t>3-1-2-3 / Les passifs courants</w:t>
      </w:r>
    </w:p>
    <w:p w:rsidR="000D6D2C" w:rsidRDefault="000D6D2C" w:rsidP="000D6D2C">
      <w:pPr>
        <w:pStyle w:val="Titre21"/>
        <w:keepNext/>
        <w:keepLines/>
        <w:spacing w:after="360"/>
        <w:ind w:left="0"/>
      </w:pPr>
      <w:bookmarkStart w:id="4" w:name="bookmark8"/>
      <w:r>
        <w:rPr>
          <w:color w:val="4B4B29"/>
          <w:u w:val="none"/>
        </w:rPr>
        <w:br/>
        <w:t>4/</w:t>
      </w:r>
      <w:r>
        <w:rPr>
          <w:color w:val="000000"/>
          <w:u w:val="none"/>
        </w:rPr>
        <w:t xml:space="preserve">- </w:t>
      </w:r>
      <w:r>
        <w:t>Evolution de la situation économique du premier semestre 2022</w:t>
      </w:r>
      <w:bookmarkEnd w:id="4"/>
    </w:p>
    <w:p w:rsidR="000D6D2C" w:rsidRDefault="000D6D2C" w:rsidP="000D6D2C">
      <w:pPr>
        <w:pStyle w:val="Texteducorps0"/>
        <w:spacing w:after="120"/>
        <w:ind w:firstLine="300"/>
      </w:pPr>
      <w:r>
        <w:t>4-1 /Les produits</w:t>
      </w:r>
    </w:p>
    <w:p w:rsidR="000D6D2C" w:rsidRDefault="000D6D2C" w:rsidP="000D6D2C">
      <w:pPr>
        <w:pStyle w:val="Texteducorps0"/>
        <w:spacing w:after="120"/>
        <w:ind w:firstLine="0"/>
      </w:pPr>
      <w:r>
        <w:t>4-1-1-/ Hébergement</w:t>
      </w:r>
    </w:p>
    <w:p w:rsidR="000D6D2C" w:rsidRDefault="000D6D2C" w:rsidP="000D6D2C">
      <w:pPr>
        <w:pStyle w:val="Texteducorps0"/>
        <w:spacing w:after="120"/>
        <w:ind w:firstLine="0"/>
      </w:pPr>
      <w:r>
        <w:t>4-1-2-/ Restauration</w:t>
      </w:r>
    </w:p>
    <w:p w:rsidR="000D6D2C" w:rsidRDefault="000D6D2C" w:rsidP="000D6D2C">
      <w:pPr>
        <w:pStyle w:val="Texteducorps0"/>
        <w:ind w:firstLine="0"/>
      </w:pPr>
      <w:r>
        <w:t>4-1-3-/ Divers</w:t>
      </w:r>
    </w:p>
    <w:p w:rsidR="000D6D2C" w:rsidRDefault="000D6D2C" w:rsidP="000D6D2C">
      <w:pPr>
        <w:pStyle w:val="Texteducorps0"/>
        <w:spacing w:after="120"/>
        <w:ind w:firstLine="300"/>
      </w:pPr>
      <w:r>
        <w:t>4-2 / Les charges</w:t>
      </w:r>
    </w:p>
    <w:p w:rsidR="000D6D2C" w:rsidRDefault="000D6D2C" w:rsidP="000D6D2C">
      <w:pPr>
        <w:pStyle w:val="Texteducorps0"/>
        <w:ind w:firstLine="0"/>
      </w:pPr>
      <w:r>
        <w:t>4-2-1-/ Les charges d’exploitation</w:t>
      </w:r>
    </w:p>
    <w:p w:rsidR="000D6D2C" w:rsidRDefault="000D6D2C" w:rsidP="000D6D2C">
      <w:pPr>
        <w:pStyle w:val="Texteducorps0"/>
        <w:spacing w:after="360"/>
        <w:ind w:firstLine="0"/>
      </w:pPr>
      <w:r>
        <w:t>4-2-2-/ Ratios de gestion</w:t>
      </w:r>
    </w:p>
    <w:p w:rsidR="000D6D2C" w:rsidRDefault="000D6D2C" w:rsidP="000D6D2C">
      <w:pPr>
        <w:pStyle w:val="Texteducorps0"/>
        <w:spacing w:after="460"/>
        <w:ind w:firstLine="0"/>
      </w:pPr>
      <w:r>
        <w:t>4-3 / Résultats</w:t>
      </w:r>
    </w:p>
    <w:p w:rsidR="000D6D2C" w:rsidRDefault="000D6D2C" w:rsidP="000D6D2C">
      <w:pPr>
        <w:pStyle w:val="Texteducorps0"/>
        <w:ind w:firstLine="0"/>
      </w:pPr>
      <w:r>
        <w:t>4-4 / Activité boursière</w:t>
      </w:r>
    </w:p>
    <w:p w:rsidR="00AE224E" w:rsidRDefault="00AE224E">
      <w:pPr>
        <w:pStyle w:val="En-tte"/>
        <w:tabs>
          <w:tab w:val="clear" w:pos="4153"/>
          <w:tab w:val="clear" w:pos="8306"/>
        </w:tabs>
        <w:jc w:val="left"/>
        <w:rPr>
          <w:rFonts w:ascii="Algerian" w:hAnsi="Algerian"/>
          <w:imprint/>
          <w:color w:val="FFFF00"/>
          <w:sz w:val="56"/>
        </w:rPr>
      </w:pPr>
    </w:p>
    <w:p w:rsidR="000D6D2C" w:rsidRDefault="000D6D2C">
      <w:pPr>
        <w:pStyle w:val="En-tte"/>
        <w:tabs>
          <w:tab w:val="clear" w:pos="4153"/>
          <w:tab w:val="clear" w:pos="8306"/>
        </w:tabs>
        <w:jc w:val="left"/>
        <w:rPr>
          <w:rFonts w:ascii="Algerian" w:hAnsi="Algerian"/>
          <w:imprint/>
          <w:color w:val="FFFF00"/>
          <w:sz w:val="56"/>
        </w:rPr>
      </w:pPr>
    </w:p>
    <w:p w:rsidR="000D6D2C" w:rsidRDefault="000D6D2C">
      <w:pPr>
        <w:pStyle w:val="En-tte"/>
        <w:tabs>
          <w:tab w:val="clear" w:pos="4153"/>
          <w:tab w:val="clear" w:pos="8306"/>
        </w:tabs>
        <w:jc w:val="left"/>
        <w:rPr>
          <w:rFonts w:ascii="Algerian" w:hAnsi="Algerian"/>
          <w:imprint/>
          <w:color w:val="FFFF00"/>
          <w:sz w:val="56"/>
        </w:rPr>
      </w:pPr>
    </w:p>
    <w:p w:rsidR="000D6D2C" w:rsidRDefault="000D6D2C">
      <w:pPr>
        <w:pStyle w:val="En-tte"/>
        <w:tabs>
          <w:tab w:val="clear" w:pos="4153"/>
          <w:tab w:val="clear" w:pos="8306"/>
        </w:tabs>
        <w:jc w:val="left"/>
        <w:rPr>
          <w:rFonts w:ascii="Algerian" w:hAnsi="Algerian"/>
          <w:imprint/>
          <w:color w:val="FFFF00"/>
          <w:sz w:val="56"/>
        </w:rPr>
      </w:pPr>
    </w:p>
    <w:p w:rsidR="007F1FAE" w:rsidRDefault="007F1FAE">
      <w:pPr>
        <w:pStyle w:val="En-tte"/>
        <w:tabs>
          <w:tab w:val="clear" w:pos="4153"/>
          <w:tab w:val="clear" w:pos="8306"/>
        </w:tabs>
        <w:jc w:val="left"/>
        <w:rPr>
          <w:rFonts w:ascii="Algerian" w:hAnsi="Algerian"/>
          <w:imprint/>
          <w:color w:val="FFFF00"/>
          <w:sz w:val="56"/>
        </w:rPr>
      </w:pPr>
    </w:p>
    <w:p w:rsidR="00E21FA0" w:rsidRDefault="00E21FA0">
      <w:pPr>
        <w:pStyle w:val="En-tte"/>
        <w:tabs>
          <w:tab w:val="clear" w:pos="4153"/>
          <w:tab w:val="clear" w:pos="8306"/>
        </w:tabs>
        <w:jc w:val="left"/>
        <w:rPr>
          <w:rFonts w:ascii="Algerian" w:hAnsi="Algerian"/>
          <w:imprint/>
          <w:color w:val="FFFF00"/>
          <w:sz w:val="56"/>
        </w:rPr>
      </w:pPr>
    </w:p>
    <w:p w:rsidR="00E21FA0" w:rsidRDefault="00E21FA0">
      <w:pPr>
        <w:pStyle w:val="En-tte"/>
        <w:tabs>
          <w:tab w:val="clear" w:pos="4153"/>
          <w:tab w:val="clear" w:pos="8306"/>
        </w:tabs>
        <w:jc w:val="left"/>
        <w:rPr>
          <w:rFonts w:ascii="Algerian" w:hAnsi="Algerian"/>
          <w:imprint/>
          <w:color w:val="FFFF00"/>
          <w:sz w:val="56"/>
        </w:rPr>
      </w:pPr>
    </w:p>
    <w:tbl>
      <w:tblPr>
        <w:tblpPr w:leftFromText="141" w:rightFromText="141" w:vertAnchor="text" w:tblpY="1"/>
        <w:tblOverlap w:val="never"/>
        <w:tblW w:w="9922" w:type="dxa"/>
        <w:tblLayout w:type="fixed"/>
        <w:tblCellMar>
          <w:left w:w="70" w:type="dxa"/>
          <w:right w:w="70" w:type="dxa"/>
        </w:tblCellMar>
        <w:tblLook w:val="0000"/>
      </w:tblPr>
      <w:tblGrid>
        <w:gridCol w:w="9922"/>
      </w:tblGrid>
      <w:tr w:rsidR="00393FCC" w:rsidTr="008F5F9A">
        <w:trPr>
          <w:trHeight w:hRule="exact" w:val="811"/>
        </w:trPr>
        <w:tc>
          <w:tcPr>
            <w:tcW w:w="9922" w:type="dxa"/>
          </w:tcPr>
          <w:p w:rsidR="00393FCC" w:rsidRDefault="00393FCC" w:rsidP="008F5F9A">
            <w:pPr>
              <w:pStyle w:val="En-tte"/>
              <w:tabs>
                <w:tab w:val="clear" w:pos="4153"/>
                <w:tab w:val="clear" w:pos="8306"/>
              </w:tabs>
              <w:ind w:left="720" w:hanging="720"/>
              <w:jc w:val="both"/>
              <w:rPr>
                <w:rFonts w:ascii="Albertus Extra Bold" w:hAnsi="Albertus Extra Bold"/>
                <w:b/>
                <w:color w:val="FF0000"/>
                <w:sz w:val="28"/>
                <w:u w:val="single"/>
              </w:rPr>
            </w:pPr>
            <w:r>
              <w:rPr>
                <w:rFonts w:ascii="Albertus Extra Bold" w:hAnsi="Albertus Extra Bold"/>
                <w:imprint/>
                <w:color w:val="FFFF00"/>
                <w:sz w:val="28"/>
              </w:rPr>
              <w:t>1/</w:t>
            </w:r>
            <w:r>
              <w:rPr>
                <w:rFonts w:ascii="Albertus Extra Bold" w:hAnsi="Albertus Extra Bold"/>
                <w:sz w:val="28"/>
              </w:rPr>
              <w:t>-</w:t>
            </w:r>
            <w:r>
              <w:rPr>
                <w:rFonts w:ascii="Albertus Extra Bold" w:hAnsi="Albertus Extra Bold"/>
                <w:b/>
                <w:color w:val="FF0000"/>
                <w:sz w:val="28"/>
                <w:u w:val="single"/>
              </w:rPr>
              <w:t>BILAN D’APPLICATION DES RESOLUTIONS DE L’ASSEMBLEE GENERALE ORDINAIRE  DE LA CHAINE EGH EL-AURASSI.</w:t>
            </w:r>
          </w:p>
        </w:tc>
      </w:tr>
    </w:tbl>
    <w:p w:rsidR="004568EC" w:rsidRDefault="004568EC" w:rsidP="002E41DF">
      <w:pPr>
        <w:pStyle w:val="Corpsdetexte2"/>
        <w:ind w:right="283"/>
      </w:pPr>
    </w:p>
    <w:p w:rsidR="002E41DF" w:rsidRDefault="0087015E" w:rsidP="00DF49CF">
      <w:pPr>
        <w:pStyle w:val="Corpsdetexte2"/>
        <w:ind w:right="283"/>
        <w:jc w:val="both"/>
      </w:pPr>
      <w:r>
        <w:t xml:space="preserve">En date du </w:t>
      </w:r>
      <w:r w:rsidR="00DF49CF">
        <w:t>14 Juin 2022</w:t>
      </w:r>
      <w:r w:rsidR="002E41DF">
        <w:t>, une As</w:t>
      </w:r>
      <w:r w:rsidR="00E55708">
        <w:t>semblée Générale Ordinaire des A</w:t>
      </w:r>
      <w:r w:rsidR="002E41DF">
        <w:t xml:space="preserve">ctionnaires a été tenue au siège de la SPA EGH </w:t>
      </w:r>
      <w:r w:rsidR="00DC4FE5">
        <w:t xml:space="preserve">CHAINE </w:t>
      </w:r>
      <w:r w:rsidR="00E55708">
        <w:t>EL-AURASSI, convoquée par le Conseil d’A</w:t>
      </w:r>
      <w:r w:rsidR="002E41DF">
        <w:t>dministration, à l’effet de délibérer sur les points suivants, inscrits à l’ordre du jour.</w:t>
      </w:r>
    </w:p>
    <w:p w:rsidR="002E41DF" w:rsidRDefault="002E41DF" w:rsidP="002E41DF">
      <w:pPr>
        <w:ind w:right="283"/>
        <w:jc w:val="both"/>
        <w:rPr>
          <w:sz w:val="28"/>
        </w:rPr>
      </w:pPr>
    </w:p>
    <w:p w:rsidR="002E41DF" w:rsidRDefault="004607BC" w:rsidP="002E41DF">
      <w:pPr>
        <w:ind w:right="283"/>
        <w:jc w:val="both"/>
        <w:rPr>
          <w:sz w:val="28"/>
        </w:rPr>
      </w:pPr>
      <w:r>
        <w:rPr>
          <w:sz w:val="28"/>
        </w:rPr>
        <w:t xml:space="preserve">1 /  Examen du rapport de gestion du Conseil d’Administration </w:t>
      </w:r>
      <w:r w:rsidR="001007E7">
        <w:rPr>
          <w:sz w:val="28"/>
        </w:rPr>
        <w:t xml:space="preserve">de l’exercice clos au    </w:t>
      </w:r>
    </w:p>
    <w:p w:rsidR="001007E7" w:rsidRDefault="00D1332B" w:rsidP="002E41DF">
      <w:pPr>
        <w:ind w:right="283"/>
        <w:jc w:val="both"/>
        <w:rPr>
          <w:sz w:val="28"/>
        </w:rPr>
      </w:pPr>
      <w:r>
        <w:rPr>
          <w:sz w:val="28"/>
        </w:rPr>
        <w:t xml:space="preserve">      31 Décembre 2021</w:t>
      </w:r>
      <w:r w:rsidR="001007E7">
        <w:rPr>
          <w:sz w:val="28"/>
        </w:rPr>
        <w:t>.</w:t>
      </w:r>
    </w:p>
    <w:p w:rsidR="002E41DF" w:rsidRDefault="001007E7" w:rsidP="002E41DF">
      <w:pPr>
        <w:ind w:right="283"/>
        <w:jc w:val="both"/>
        <w:rPr>
          <w:sz w:val="28"/>
        </w:rPr>
      </w:pPr>
      <w:r>
        <w:rPr>
          <w:sz w:val="28"/>
        </w:rPr>
        <w:t xml:space="preserve">2/   </w:t>
      </w:r>
      <w:r w:rsidR="004607BC">
        <w:rPr>
          <w:sz w:val="28"/>
        </w:rPr>
        <w:t xml:space="preserve">Examen </w:t>
      </w:r>
      <w:r w:rsidR="00AD6F47">
        <w:rPr>
          <w:sz w:val="28"/>
        </w:rPr>
        <w:t>de</w:t>
      </w:r>
      <w:r w:rsidR="004607BC">
        <w:rPr>
          <w:sz w:val="28"/>
        </w:rPr>
        <w:t>s états financiers  arrêtés  au 31/12/</w:t>
      </w:r>
      <w:r w:rsidR="00D1332B">
        <w:rPr>
          <w:sz w:val="28"/>
        </w:rPr>
        <w:t>2021</w:t>
      </w:r>
    </w:p>
    <w:p w:rsidR="002E41DF" w:rsidRDefault="002E41DF" w:rsidP="002E41DF">
      <w:pPr>
        <w:ind w:right="283"/>
        <w:jc w:val="both"/>
        <w:rPr>
          <w:sz w:val="28"/>
        </w:rPr>
      </w:pPr>
      <w:r>
        <w:rPr>
          <w:sz w:val="28"/>
        </w:rPr>
        <w:t>3/   Affectatio</w:t>
      </w:r>
      <w:r w:rsidR="0031141F">
        <w:rPr>
          <w:sz w:val="28"/>
        </w:rPr>
        <w:t>n d</w:t>
      </w:r>
      <w:r w:rsidR="00D1332B">
        <w:rPr>
          <w:sz w:val="28"/>
        </w:rPr>
        <w:t>es  résultats de l’exercice 2021</w:t>
      </w:r>
      <w:r>
        <w:rPr>
          <w:sz w:val="28"/>
        </w:rPr>
        <w:t>.</w:t>
      </w:r>
    </w:p>
    <w:p w:rsidR="002E41DF" w:rsidRDefault="002E41DF" w:rsidP="002E41DF">
      <w:pPr>
        <w:ind w:right="283"/>
        <w:jc w:val="both"/>
        <w:rPr>
          <w:sz w:val="28"/>
        </w:rPr>
      </w:pPr>
      <w:r>
        <w:rPr>
          <w:sz w:val="28"/>
        </w:rPr>
        <w:t>4/   Rémunération des administrateurs</w:t>
      </w:r>
    </w:p>
    <w:p w:rsidR="002E41DF" w:rsidRDefault="002E41DF" w:rsidP="002E41DF">
      <w:pPr>
        <w:ind w:right="283"/>
        <w:jc w:val="both"/>
        <w:rPr>
          <w:sz w:val="28"/>
        </w:rPr>
      </w:pPr>
      <w:r>
        <w:rPr>
          <w:sz w:val="28"/>
        </w:rPr>
        <w:t>5/   Honoraires du commissaire aux comp</w:t>
      </w:r>
      <w:r w:rsidR="001007E7">
        <w:rPr>
          <w:sz w:val="28"/>
        </w:rPr>
        <w:t>tes</w:t>
      </w:r>
    </w:p>
    <w:p w:rsidR="00E55708" w:rsidRDefault="00D1332B" w:rsidP="002E41DF">
      <w:pPr>
        <w:ind w:right="283"/>
        <w:jc w:val="both"/>
        <w:rPr>
          <w:sz w:val="28"/>
        </w:rPr>
      </w:pPr>
      <w:r>
        <w:rPr>
          <w:sz w:val="28"/>
        </w:rPr>
        <w:t>6/   Reconfiguration du Conseil d’Administration</w:t>
      </w:r>
    </w:p>
    <w:p w:rsidR="0087015E" w:rsidRDefault="00E55708" w:rsidP="002E41DF">
      <w:pPr>
        <w:ind w:right="283"/>
        <w:jc w:val="both"/>
        <w:rPr>
          <w:sz w:val="28"/>
        </w:rPr>
      </w:pPr>
      <w:r>
        <w:rPr>
          <w:sz w:val="28"/>
        </w:rPr>
        <w:t>7</w:t>
      </w:r>
      <w:r w:rsidR="0087015E">
        <w:rPr>
          <w:sz w:val="28"/>
        </w:rPr>
        <w:t>/   Divers</w:t>
      </w:r>
    </w:p>
    <w:p w:rsidR="002E41DF" w:rsidRDefault="002E41DF" w:rsidP="004568EC">
      <w:pPr>
        <w:pStyle w:val="Retraitcorpsdetexte"/>
        <w:tabs>
          <w:tab w:val="num" w:pos="1065"/>
        </w:tabs>
        <w:ind w:left="0" w:right="283"/>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7590"/>
        <w:gridCol w:w="1827"/>
      </w:tblGrid>
      <w:tr w:rsidR="002E41DF" w:rsidRPr="0085187B" w:rsidTr="000C7817">
        <w:trPr>
          <w:trHeight w:val="350"/>
        </w:trPr>
        <w:tc>
          <w:tcPr>
            <w:tcW w:w="0" w:type="auto"/>
          </w:tcPr>
          <w:p w:rsidR="002E41DF" w:rsidRPr="0085187B" w:rsidRDefault="002E41DF" w:rsidP="00663A0C">
            <w:pPr>
              <w:jc w:val="center"/>
              <w:rPr>
                <w:b/>
                <w:bCs/>
                <w:color w:val="0000FF"/>
                <w:sz w:val="28"/>
                <w:szCs w:val="28"/>
              </w:rPr>
            </w:pPr>
            <w:r w:rsidRPr="0085187B">
              <w:rPr>
                <w:b/>
                <w:bCs/>
                <w:color w:val="0000FF"/>
                <w:sz w:val="28"/>
                <w:szCs w:val="28"/>
              </w:rPr>
              <w:t>N° d’Ordre</w:t>
            </w:r>
          </w:p>
        </w:tc>
        <w:tc>
          <w:tcPr>
            <w:tcW w:w="0" w:type="auto"/>
          </w:tcPr>
          <w:p w:rsidR="002E41DF" w:rsidRPr="0085187B" w:rsidRDefault="002E41DF" w:rsidP="00663A0C">
            <w:pPr>
              <w:jc w:val="center"/>
              <w:rPr>
                <w:b/>
                <w:bCs/>
                <w:color w:val="0000FF"/>
                <w:sz w:val="28"/>
                <w:szCs w:val="28"/>
              </w:rPr>
            </w:pPr>
            <w:r w:rsidRPr="0085187B">
              <w:rPr>
                <w:b/>
                <w:bCs/>
                <w:color w:val="0000FF"/>
                <w:sz w:val="28"/>
                <w:szCs w:val="28"/>
              </w:rPr>
              <w:t>Résolution</w:t>
            </w:r>
            <w:r>
              <w:rPr>
                <w:b/>
                <w:bCs/>
                <w:color w:val="0000FF"/>
                <w:sz w:val="28"/>
                <w:szCs w:val="28"/>
              </w:rPr>
              <w:t>s</w:t>
            </w:r>
          </w:p>
        </w:tc>
        <w:tc>
          <w:tcPr>
            <w:tcW w:w="0" w:type="auto"/>
          </w:tcPr>
          <w:p w:rsidR="002E41DF" w:rsidRPr="0085187B" w:rsidRDefault="002E41DF" w:rsidP="00663A0C">
            <w:pPr>
              <w:jc w:val="center"/>
              <w:rPr>
                <w:b/>
                <w:bCs/>
                <w:color w:val="0000FF"/>
                <w:sz w:val="28"/>
                <w:szCs w:val="28"/>
              </w:rPr>
            </w:pPr>
            <w:r w:rsidRPr="0085187B">
              <w:rPr>
                <w:b/>
                <w:bCs/>
                <w:color w:val="0000FF"/>
                <w:sz w:val="28"/>
                <w:szCs w:val="28"/>
              </w:rPr>
              <w:t>Etat d’exécution au</w:t>
            </w:r>
          </w:p>
          <w:p w:rsidR="002E41DF" w:rsidRPr="0085187B" w:rsidRDefault="00E0694C" w:rsidP="009F6D1B">
            <w:pPr>
              <w:jc w:val="center"/>
              <w:rPr>
                <w:b/>
                <w:bCs/>
                <w:color w:val="0000FF"/>
              </w:rPr>
            </w:pPr>
            <w:r>
              <w:rPr>
                <w:b/>
                <w:bCs/>
                <w:color w:val="0000FF"/>
                <w:sz w:val="28"/>
                <w:szCs w:val="28"/>
              </w:rPr>
              <w:t xml:space="preserve">30 Juin </w:t>
            </w:r>
            <w:r w:rsidR="002E41DF">
              <w:rPr>
                <w:b/>
                <w:bCs/>
                <w:color w:val="0000FF"/>
                <w:sz w:val="28"/>
                <w:szCs w:val="28"/>
              </w:rPr>
              <w:t>20</w:t>
            </w:r>
            <w:r w:rsidR="000467B1">
              <w:rPr>
                <w:b/>
                <w:bCs/>
                <w:color w:val="0000FF"/>
                <w:sz w:val="28"/>
                <w:szCs w:val="28"/>
              </w:rPr>
              <w:t>2</w:t>
            </w:r>
            <w:r w:rsidR="00D1332B">
              <w:rPr>
                <w:b/>
                <w:bCs/>
                <w:color w:val="0000FF"/>
                <w:sz w:val="28"/>
                <w:szCs w:val="28"/>
              </w:rPr>
              <w:t>2</w:t>
            </w:r>
          </w:p>
        </w:tc>
      </w:tr>
      <w:tr w:rsidR="002E41DF" w:rsidRPr="0085187B" w:rsidTr="000C7817">
        <w:trPr>
          <w:trHeight w:val="5788"/>
        </w:trPr>
        <w:tc>
          <w:tcPr>
            <w:tcW w:w="0" w:type="auto"/>
          </w:tcPr>
          <w:p w:rsidR="002E41DF" w:rsidRDefault="002E41DF" w:rsidP="00663A0C">
            <w:pPr>
              <w:jc w:val="center"/>
              <w:rPr>
                <w:b/>
                <w:bCs/>
                <w:color w:val="0000FF"/>
              </w:rPr>
            </w:pPr>
          </w:p>
          <w:p w:rsidR="002E41DF" w:rsidRDefault="002E41DF" w:rsidP="00663A0C">
            <w:pPr>
              <w:jc w:val="center"/>
              <w:rPr>
                <w:b/>
                <w:bCs/>
                <w:color w:val="0000FF"/>
              </w:rPr>
            </w:pPr>
            <w:r w:rsidRPr="0085187B">
              <w:rPr>
                <w:b/>
                <w:bCs/>
                <w:color w:val="0000FF"/>
              </w:rPr>
              <w:t>1</w:t>
            </w:r>
            <w:r w:rsidRPr="0085187B">
              <w:rPr>
                <w:b/>
                <w:bCs/>
                <w:color w:val="0000FF"/>
                <w:vertAlign w:val="superscript"/>
              </w:rPr>
              <w:t>er</w:t>
            </w:r>
          </w:p>
          <w:p w:rsidR="002E41DF" w:rsidRPr="0085187B" w:rsidRDefault="002E41DF" w:rsidP="00663A0C">
            <w:pPr>
              <w:jc w:val="center"/>
              <w:rPr>
                <w:b/>
                <w:bCs/>
                <w:color w:val="0000FF"/>
              </w:rPr>
            </w:pPr>
            <w:r w:rsidRPr="0085187B">
              <w:rPr>
                <w:b/>
                <w:bCs/>
                <w:color w:val="0000FF"/>
              </w:rPr>
              <w:t>Résolution</w:t>
            </w:r>
          </w:p>
        </w:tc>
        <w:tc>
          <w:tcPr>
            <w:tcW w:w="0" w:type="auto"/>
          </w:tcPr>
          <w:p w:rsidR="002E41DF" w:rsidRPr="0031141F" w:rsidRDefault="002E41DF" w:rsidP="00663A0C">
            <w:pPr>
              <w:pStyle w:val="Corpsdetexte"/>
              <w:jc w:val="both"/>
              <w:rPr>
                <w:bCs/>
                <w:sz w:val="22"/>
                <w:szCs w:val="22"/>
              </w:rPr>
            </w:pPr>
          </w:p>
          <w:p w:rsidR="002E41DF" w:rsidRPr="0031141F" w:rsidRDefault="002E41DF" w:rsidP="00663A0C">
            <w:pPr>
              <w:pStyle w:val="Corpsdetexte"/>
              <w:jc w:val="both"/>
              <w:rPr>
                <w:bCs/>
                <w:sz w:val="22"/>
                <w:szCs w:val="22"/>
              </w:rPr>
            </w:pPr>
            <w:r w:rsidRPr="0031141F">
              <w:rPr>
                <w:bCs/>
                <w:sz w:val="22"/>
                <w:szCs w:val="22"/>
              </w:rPr>
              <w:t>L’Assemblée Générale Ordinaire</w:t>
            </w:r>
            <w:r w:rsidR="000C7817">
              <w:rPr>
                <w:bCs/>
                <w:sz w:val="22"/>
                <w:szCs w:val="22"/>
              </w:rPr>
              <w:t xml:space="preserve"> des A</w:t>
            </w:r>
            <w:r w:rsidR="0066025E" w:rsidRPr="0031141F">
              <w:rPr>
                <w:bCs/>
                <w:sz w:val="22"/>
                <w:szCs w:val="22"/>
              </w:rPr>
              <w:t>ctionnaires</w:t>
            </w:r>
            <w:r w:rsidRPr="0031141F">
              <w:rPr>
                <w:bCs/>
                <w:sz w:val="22"/>
                <w:szCs w:val="22"/>
              </w:rPr>
              <w:t xml:space="preserve"> de la SPA EGH CHAINE EL</w:t>
            </w:r>
            <w:r w:rsidR="00823644" w:rsidRPr="0031141F">
              <w:rPr>
                <w:bCs/>
                <w:sz w:val="22"/>
                <w:szCs w:val="22"/>
              </w:rPr>
              <w:t>-</w:t>
            </w:r>
            <w:r w:rsidRPr="0031141F">
              <w:rPr>
                <w:bCs/>
                <w:sz w:val="22"/>
                <w:szCs w:val="22"/>
              </w:rPr>
              <w:t xml:space="preserve"> AURASSI :</w:t>
            </w:r>
          </w:p>
          <w:p w:rsidR="002E41DF" w:rsidRPr="0031141F" w:rsidRDefault="002E41DF" w:rsidP="00663A0C">
            <w:pPr>
              <w:pStyle w:val="Corpsdetexte"/>
              <w:jc w:val="both"/>
              <w:rPr>
                <w:bCs/>
                <w:sz w:val="22"/>
                <w:szCs w:val="22"/>
              </w:rPr>
            </w:pPr>
          </w:p>
          <w:p w:rsidR="002E41DF" w:rsidRPr="0031141F" w:rsidRDefault="002E41DF" w:rsidP="003C00AA">
            <w:pPr>
              <w:pStyle w:val="Corpsdetexte"/>
              <w:numPr>
                <w:ilvl w:val="0"/>
                <w:numId w:val="16"/>
              </w:numPr>
              <w:jc w:val="both"/>
              <w:rPr>
                <w:bCs/>
                <w:sz w:val="22"/>
                <w:szCs w:val="22"/>
              </w:rPr>
            </w:pPr>
            <w:r w:rsidRPr="0031141F">
              <w:rPr>
                <w:bCs/>
                <w:sz w:val="22"/>
                <w:szCs w:val="22"/>
              </w:rPr>
              <w:t>Après  présentation par le Président Directeur Général de son rapport </w:t>
            </w:r>
            <w:r w:rsidR="00E55708">
              <w:rPr>
                <w:bCs/>
                <w:sz w:val="22"/>
                <w:szCs w:val="22"/>
              </w:rPr>
              <w:t xml:space="preserve">de  gestion </w:t>
            </w:r>
            <w:r w:rsidRPr="0031141F">
              <w:rPr>
                <w:bCs/>
                <w:sz w:val="22"/>
                <w:szCs w:val="22"/>
              </w:rPr>
              <w:t>;</w:t>
            </w:r>
          </w:p>
          <w:p w:rsidR="002E41DF" w:rsidRPr="0031141F" w:rsidRDefault="002E41DF" w:rsidP="003C00AA">
            <w:pPr>
              <w:pStyle w:val="Corpsdetexte"/>
              <w:numPr>
                <w:ilvl w:val="0"/>
                <w:numId w:val="16"/>
              </w:numPr>
              <w:jc w:val="both"/>
              <w:rPr>
                <w:bCs/>
                <w:sz w:val="22"/>
                <w:szCs w:val="22"/>
              </w:rPr>
            </w:pPr>
            <w:r w:rsidRPr="0031141F">
              <w:rPr>
                <w:bCs/>
                <w:sz w:val="22"/>
                <w:szCs w:val="22"/>
              </w:rPr>
              <w:t>Après présentation par le Commissaire aux comptes de son rapport ;</w:t>
            </w:r>
          </w:p>
          <w:p w:rsidR="002E41DF" w:rsidRPr="0031141F" w:rsidRDefault="002E41DF" w:rsidP="003C00AA">
            <w:pPr>
              <w:pStyle w:val="Corpsdetexte"/>
              <w:numPr>
                <w:ilvl w:val="0"/>
                <w:numId w:val="16"/>
              </w:numPr>
              <w:jc w:val="both"/>
              <w:rPr>
                <w:bCs/>
                <w:sz w:val="22"/>
                <w:szCs w:val="22"/>
              </w:rPr>
            </w:pPr>
            <w:r w:rsidRPr="0031141F">
              <w:rPr>
                <w:bCs/>
                <w:sz w:val="22"/>
                <w:szCs w:val="22"/>
              </w:rPr>
              <w:t xml:space="preserve">Après avoir entendu les explications complémentaires exposées verbalement ; </w:t>
            </w:r>
          </w:p>
          <w:p w:rsidR="002E41DF" w:rsidRPr="0031141F" w:rsidRDefault="002E41DF" w:rsidP="00663A0C">
            <w:pPr>
              <w:pStyle w:val="Corpsdetexte"/>
              <w:jc w:val="both"/>
              <w:rPr>
                <w:bCs/>
                <w:sz w:val="22"/>
                <w:szCs w:val="22"/>
              </w:rPr>
            </w:pPr>
          </w:p>
          <w:p w:rsidR="002E41DF" w:rsidRPr="0031141F" w:rsidRDefault="002E41DF" w:rsidP="003C00AA">
            <w:pPr>
              <w:pStyle w:val="Corpsdetexte"/>
              <w:numPr>
                <w:ilvl w:val="0"/>
                <w:numId w:val="17"/>
              </w:numPr>
              <w:jc w:val="both"/>
              <w:rPr>
                <w:bCs/>
                <w:sz w:val="22"/>
                <w:szCs w:val="22"/>
              </w:rPr>
            </w:pPr>
            <w:proofErr w:type="spellStart"/>
            <w:r w:rsidRPr="0031141F">
              <w:rPr>
                <w:b/>
                <w:bCs/>
                <w:sz w:val="22"/>
                <w:szCs w:val="22"/>
              </w:rPr>
              <w:t>Approuve</w:t>
            </w:r>
            <w:r w:rsidRPr="0031141F">
              <w:rPr>
                <w:bCs/>
                <w:sz w:val="22"/>
                <w:szCs w:val="22"/>
              </w:rPr>
              <w:t>les</w:t>
            </w:r>
            <w:proofErr w:type="spellEnd"/>
            <w:r w:rsidRPr="0031141F">
              <w:rPr>
                <w:bCs/>
                <w:sz w:val="22"/>
                <w:szCs w:val="22"/>
              </w:rPr>
              <w:t xml:space="preserve">  états financ</w:t>
            </w:r>
            <w:r w:rsidR="00D1332B">
              <w:rPr>
                <w:bCs/>
                <w:sz w:val="22"/>
                <w:szCs w:val="22"/>
              </w:rPr>
              <w:t>iers arrêtés au 31 Décembre 2021</w:t>
            </w:r>
            <w:r w:rsidRPr="0031141F">
              <w:rPr>
                <w:bCs/>
                <w:sz w:val="22"/>
                <w:szCs w:val="22"/>
              </w:rPr>
              <w:t xml:space="preserve"> avec un</w:t>
            </w:r>
            <w:r w:rsidR="003E2C15" w:rsidRPr="0031141F">
              <w:rPr>
                <w:bCs/>
                <w:sz w:val="22"/>
                <w:szCs w:val="22"/>
              </w:rPr>
              <w:t>:</w:t>
            </w:r>
          </w:p>
          <w:p w:rsidR="002E41DF" w:rsidRPr="0031141F" w:rsidRDefault="002E41DF" w:rsidP="00663A0C">
            <w:pPr>
              <w:pStyle w:val="Corpsdetexte"/>
              <w:ind w:left="360"/>
              <w:jc w:val="both"/>
              <w:rPr>
                <w:bCs/>
                <w:sz w:val="22"/>
                <w:szCs w:val="22"/>
              </w:rPr>
            </w:pPr>
          </w:p>
          <w:p w:rsidR="002E41DF" w:rsidRPr="0031141F" w:rsidRDefault="002E41DF" w:rsidP="00D1332B">
            <w:pPr>
              <w:pStyle w:val="Corpsdetexte"/>
              <w:jc w:val="both"/>
              <w:rPr>
                <w:bCs/>
                <w:sz w:val="22"/>
                <w:szCs w:val="22"/>
              </w:rPr>
            </w:pPr>
            <w:r w:rsidRPr="0031141F">
              <w:rPr>
                <w:bCs/>
                <w:sz w:val="22"/>
                <w:szCs w:val="22"/>
              </w:rPr>
              <w:t>Total net du bilan  Actif/Passif  de </w:t>
            </w:r>
            <w:r w:rsidR="00D1332B" w:rsidRPr="0031141F">
              <w:rPr>
                <w:bCs/>
                <w:sz w:val="22"/>
                <w:szCs w:val="22"/>
              </w:rPr>
              <w:t>:</w:t>
            </w:r>
            <w:r w:rsidR="00D1332B">
              <w:rPr>
                <w:bCs/>
                <w:sz w:val="22"/>
                <w:szCs w:val="22"/>
              </w:rPr>
              <w:t xml:space="preserve">   9.489.963.991,26</w:t>
            </w:r>
            <w:r w:rsidRPr="0031141F">
              <w:rPr>
                <w:bCs/>
                <w:sz w:val="22"/>
                <w:szCs w:val="22"/>
              </w:rPr>
              <w:t xml:space="preserve"> DA.</w:t>
            </w:r>
          </w:p>
          <w:p w:rsidR="002E41DF" w:rsidRPr="0031141F" w:rsidRDefault="002E41DF" w:rsidP="00663A0C">
            <w:pPr>
              <w:pStyle w:val="Corpsdetexte"/>
              <w:ind w:left="720"/>
              <w:jc w:val="both"/>
              <w:rPr>
                <w:bCs/>
                <w:sz w:val="22"/>
                <w:szCs w:val="22"/>
              </w:rPr>
            </w:pPr>
          </w:p>
          <w:p w:rsidR="002E41DF" w:rsidRPr="0031141F" w:rsidRDefault="002E41DF" w:rsidP="00D1332B">
            <w:pPr>
              <w:pStyle w:val="Corpsdetexte"/>
              <w:ind w:left="720"/>
              <w:jc w:val="both"/>
              <w:rPr>
                <w:bCs/>
                <w:sz w:val="22"/>
                <w:szCs w:val="22"/>
              </w:rPr>
            </w:pPr>
            <w:r w:rsidRPr="0031141F">
              <w:rPr>
                <w:bCs/>
                <w:sz w:val="22"/>
                <w:szCs w:val="22"/>
              </w:rPr>
              <w:t xml:space="preserve">Résultat </w:t>
            </w:r>
            <w:r w:rsidR="00E55708">
              <w:rPr>
                <w:bCs/>
                <w:sz w:val="22"/>
                <w:szCs w:val="22"/>
              </w:rPr>
              <w:t xml:space="preserve">déficitaire </w:t>
            </w:r>
            <w:r w:rsidRPr="0031141F">
              <w:rPr>
                <w:bCs/>
                <w:sz w:val="22"/>
                <w:szCs w:val="22"/>
              </w:rPr>
              <w:t>net de </w:t>
            </w:r>
            <w:r w:rsidR="00975790" w:rsidRPr="0031141F">
              <w:rPr>
                <w:bCs/>
                <w:sz w:val="22"/>
                <w:szCs w:val="22"/>
              </w:rPr>
              <w:t>:</w:t>
            </w:r>
            <w:r w:rsidR="00975790">
              <w:rPr>
                <w:bCs/>
                <w:sz w:val="22"/>
                <w:szCs w:val="22"/>
              </w:rPr>
              <w:t xml:space="preserve">       506.920.133,02</w:t>
            </w:r>
            <w:r w:rsidRPr="0031141F">
              <w:rPr>
                <w:bCs/>
                <w:sz w:val="22"/>
                <w:szCs w:val="22"/>
              </w:rPr>
              <w:t xml:space="preserve"> DA.</w:t>
            </w:r>
          </w:p>
          <w:p w:rsidR="002E41DF" w:rsidRPr="0031141F" w:rsidRDefault="002E41DF" w:rsidP="00663A0C">
            <w:pPr>
              <w:pStyle w:val="Corpsdetexte"/>
              <w:ind w:left="720"/>
              <w:jc w:val="both"/>
              <w:rPr>
                <w:bCs/>
                <w:sz w:val="22"/>
                <w:szCs w:val="22"/>
              </w:rPr>
            </w:pPr>
          </w:p>
          <w:p w:rsidR="00DC29A0" w:rsidRPr="0031141F" w:rsidRDefault="002E41DF" w:rsidP="003C00AA">
            <w:pPr>
              <w:pStyle w:val="Corpsdetexte"/>
              <w:numPr>
                <w:ilvl w:val="0"/>
                <w:numId w:val="17"/>
              </w:numPr>
              <w:jc w:val="both"/>
              <w:rPr>
                <w:bCs/>
                <w:sz w:val="22"/>
                <w:szCs w:val="22"/>
              </w:rPr>
            </w:pPr>
            <w:r w:rsidRPr="0031141F">
              <w:rPr>
                <w:b/>
                <w:bCs/>
                <w:sz w:val="22"/>
                <w:szCs w:val="22"/>
              </w:rPr>
              <w:t>Donne</w:t>
            </w:r>
            <w:r w:rsidR="00AD6F47" w:rsidRPr="0031141F">
              <w:rPr>
                <w:bCs/>
                <w:sz w:val="22"/>
                <w:szCs w:val="22"/>
              </w:rPr>
              <w:t xml:space="preserve"> quitus </w:t>
            </w:r>
            <w:r w:rsidRPr="0031141F">
              <w:rPr>
                <w:bCs/>
                <w:sz w:val="22"/>
                <w:szCs w:val="22"/>
              </w:rPr>
              <w:t>aux membres du Co</w:t>
            </w:r>
            <w:r w:rsidR="00E55708">
              <w:rPr>
                <w:bCs/>
                <w:sz w:val="22"/>
                <w:szCs w:val="22"/>
              </w:rPr>
              <w:t>nseil d’Adm</w:t>
            </w:r>
            <w:r w:rsidR="00D1332B">
              <w:rPr>
                <w:bCs/>
                <w:sz w:val="22"/>
                <w:szCs w:val="22"/>
              </w:rPr>
              <w:t>inistration pour l’exercice 2021.</w:t>
            </w:r>
          </w:p>
          <w:p w:rsidR="001007E7" w:rsidRPr="00E55708" w:rsidRDefault="002E41DF" w:rsidP="003C00AA">
            <w:pPr>
              <w:pStyle w:val="Paragraphedeliste"/>
              <w:numPr>
                <w:ilvl w:val="0"/>
                <w:numId w:val="17"/>
              </w:numPr>
              <w:jc w:val="both"/>
              <w:rPr>
                <w:bCs/>
                <w:sz w:val="22"/>
                <w:szCs w:val="22"/>
              </w:rPr>
            </w:pPr>
            <w:r w:rsidRPr="00E55708">
              <w:rPr>
                <w:b/>
                <w:bCs/>
                <w:sz w:val="22"/>
                <w:szCs w:val="22"/>
              </w:rPr>
              <w:t>Mande</w:t>
            </w:r>
            <w:r w:rsidRPr="00E55708">
              <w:rPr>
                <w:bCs/>
                <w:sz w:val="22"/>
                <w:szCs w:val="22"/>
              </w:rPr>
              <w:t xml:space="preserve"> le conseil d’administration à l’effet de prendre en charge les remarques et  les recommandations du commissaire aux comptes sur les état</w:t>
            </w:r>
            <w:r w:rsidR="00D1332B">
              <w:rPr>
                <w:bCs/>
                <w:sz w:val="22"/>
                <w:szCs w:val="22"/>
              </w:rPr>
              <w:t>s financiers de  l'exercice 2022</w:t>
            </w:r>
            <w:r w:rsidRPr="00E55708">
              <w:rPr>
                <w:bCs/>
                <w:sz w:val="22"/>
                <w:szCs w:val="22"/>
              </w:rPr>
              <w:t>.</w:t>
            </w:r>
          </w:p>
          <w:p w:rsidR="00E55708" w:rsidRPr="00E55708" w:rsidRDefault="00E55708" w:rsidP="00E55708">
            <w:pPr>
              <w:jc w:val="both"/>
              <w:rPr>
                <w:bCs/>
                <w:sz w:val="22"/>
                <w:szCs w:val="22"/>
              </w:rPr>
            </w:pPr>
          </w:p>
        </w:tc>
        <w:tc>
          <w:tcPr>
            <w:tcW w:w="0" w:type="auto"/>
          </w:tcPr>
          <w:p w:rsidR="002E41DF" w:rsidRDefault="002E41DF" w:rsidP="00663A0C">
            <w:pPr>
              <w:jc w:val="center"/>
            </w:pPr>
          </w:p>
          <w:p w:rsidR="002E41DF" w:rsidRDefault="002E41DF" w:rsidP="00663A0C">
            <w:pPr>
              <w:jc w:val="center"/>
            </w:pPr>
          </w:p>
          <w:p w:rsidR="002E41DF" w:rsidRDefault="002E41DF" w:rsidP="00663A0C">
            <w:pPr>
              <w:jc w:val="center"/>
            </w:pPr>
          </w:p>
          <w:p w:rsidR="002E41DF" w:rsidRDefault="002E41DF" w:rsidP="00663A0C">
            <w:pPr>
              <w:jc w:val="center"/>
            </w:pPr>
          </w:p>
          <w:p w:rsidR="002E41DF" w:rsidRDefault="002E41DF" w:rsidP="00663A0C">
            <w:pPr>
              <w:jc w:val="center"/>
            </w:pPr>
          </w:p>
          <w:p w:rsidR="002E41DF" w:rsidRDefault="002E41DF" w:rsidP="00663A0C">
            <w:pPr>
              <w:jc w:val="center"/>
            </w:pPr>
          </w:p>
          <w:p w:rsidR="002E41DF" w:rsidRDefault="002E41DF" w:rsidP="00663A0C">
            <w:pPr>
              <w:jc w:val="center"/>
              <w:rPr>
                <w:b/>
                <w:bCs/>
                <w:color w:val="365F91"/>
                <w:sz w:val="28"/>
                <w:szCs w:val="28"/>
              </w:rPr>
            </w:pPr>
          </w:p>
          <w:p w:rsidR="00D1332B" w:rsidRDefault="002E41DF" w:rsidP="00663A0C">
            <w:pPr>
              <w:jc w:val="center"/>
              <w:rPr>
                <w:b/>
                <w:bCs/>
                <w:color w:val="365F91"/>
                <w:sz w:val="28"/>
                <w:szCs w:val="28"/>
                <w:u w:val="single"/>
              </w:rPr>
            </w:pPr>
            <w:r w:rsidRPr="0093701B">
              <w:rPr>
                <w:b/>
                <w:bCs/>
                <w:color w:val="365F91"/>
                <w:sz w:val="28"/>
                <w:szCs w:val="28"/>
                <w:u w:val="single"/>
              </w:rPr>
              <w:t xml:space="preserve">Appliquée </w:t>
            </w:r>
          </w:p>
          <w:p w:rsidR="00D1332B" w:rsidRPr="00D1332B" w:rsidRDefault="00D1332B" w:rsidP="00D1332B">
            <w:pPr>
              <w:rPr>
                <w:sz w:val="28"/>
                <w:szCs w:val="28"/>
              </w:rPr>
            </w:pPr>
          </w:p>
          <w:p w:rsidR="00D1332B" w:rsidRPr="00D1332B" w:rsidRDefault="00D1332B" w:rsidP="00D1332B">
            <w:pPr>
              <w:rPr>
                <w:sz w:val="28"/>
                <w:szCs w:val="28"/>
              </w:rPr>
            </w:pPr>
          </w:p>
          <w:p w:rsidR="00D1332B" w:rsidRPr="00D1332B" w:rsidRDefault="00D1332B" w:rsidP="00D1332B">
            <w:pPr>
              <w:rPr>
                <w:sz w:val="28"/>
                <w:szCs w:val="28"/>
              </w:rPr>
            </w:pPr>
          </w:p>
          <w:p w:rsidR="00D1332B" w:rsidRPr="00D1332B" w:rsidRDefault="00D1332B" w:rsidP="00D1332B">
            <w:pPr>
              <w:rPr>
                <w:sz w:val="28"/>
                <w:szCs w:val="28"/>
              </w:rPr>
            </w:pPr>
          </w:p>
          <w:p w:rsidR="00D1332B" w:rsidRPr="00D1332B" w:rsidRDefault="00D1332B" w:rsidP="00D1332B">
            <w:pPr>
              <w:rPr>
                <w:sz w:val="28"/>
                <w:szCs w:val="28"/>
              </w:rPr>
            </w:pPr>
          </w:p>
          <w:p w:rsidR="00D1332B" w:rsidRPr="00D1332B" w:rsidRDefault="00D1332B" w:rsidP="00D1332B">
            <w:pPr>
              <w:rPr>
                <w:sz w:val="28"/>
                <w:szCs w:val="28"/>
              </w:rPr>
            </w:pPr>
          </w:p>
          <w:p w:rsidR="002E41DF" w:rsidRPr="00D1332B" w:rsidRDefault="002E41DF" w:rsidP="00D1332B">
            <w:pPr>
              <w:rPr>
                <w:sz w:val="28"/>
                <w:szCs w:val="28"/>
              </w:rPr>
            </w:pPr>
          </w:p>
        </w:tc>
      </w:tr>
      <w:tr w:rsidR="002E41DF" w:rsidTr="000C7817">
        <w:tc>
          <w:tcPr>
            <w:tcW w:w="0" w:type="auto"/>
          </w:tcPr>
          <w:p w:rsidR="002E41DF" w:rsidRDefault="002E41DF" w:rsidP="00663A0C">
            <w:pPr>
              <w:jc w:val="center"/>
              <w:rPr>
                <w:b/>
                <w:bCs/>
                <w:color w:val="0000FF"/>
              </w:rPr>
            </w:pPr>
          </w:p>
          <w:p w:rsidR="002E41DF" w:rsidRPr="0085187B" w:rsidRDefault="002E41DF" w:rsidP="00663A0C">
            <w:pPr>
              <w:jc w:val="center"/>
              <w:rPr>
                <w:b/>
                <w:bCs/>
                <w:color w:val="0000FF"/>
              </w:rPr>
            </w:pPr>
            <w:r w:rsidRPr="0085187B">
              <w:rPr>
                <w:b/>
                <w:bCs/>
                <w:color w:val="0000FF"/>
              </w:rPr>
              <w:t>2</w:t>
            </w:r>
            <w:r w:rsidRPr="0085187B">
              <w:rPr>
                <w:b/>
                <w:bCs/>
                <w:color w:val="0000FF"/>
                <w:vertAlign w:val="superscript"/>
              </w:rPr>
              <w:t>éme</w:t>
            </w:r>
            <w:r w:rsidRPr="0085187B">
              <w:rPr>
                <w:b/>
                <w:bCs/>
                <w:color w:val="0000FF"/>
              </w:rPr>
              <w:t xml:space="preserve">  Résolution</w:t>
            </w:r>
          </w:p>
        </w:tc>
        <w:tc>
          <w:tcPr>
            <w:tcW w:w="0" w:type="auto"/>
          </w:tcPr>
          <w:p w:rsidR="00823644" w:rsidRDefault="002E41DF" w:rsidP="000467B1">
            <w:pPr>
              <w:pStyle w:val="Corpsdetexte"/>
              <w:jc w:val="left"/>
              <w:rPr>
                <w:b/>
                <w:bCs/>
                <w:sz w:val="20"/>
                <w:szCs w:val="20"/>
              </w:rPr>
            </w:pPr>
            <w:r w:rsidRPr="00552CC4">
              <w:rPr>
                <w:bCs/>
                <w:sz w:val="20"/>
                <w:szCs w:val="20"/>
              </w:rPr>
              <w:t xml:space="preserve">L’Assemblée Générale Ordinaire </w:t>
            </w:r>
            <w:r w:rsidR="000C7817">
              <w:rPr>
                <w:bCs/>
                <w:sz w:val="20"/>
                <w:szCs w:val="20"/>
              </w:rPr>
              <w:t>des A</w:t>
            </w:r>
            <w:r w:rsidR="0066025E">
              <w:rPr>
                <w:bCs/>
                <w:sz w:val="20"/>
                <w:szCs w:val="20"/>
              </w:rPr>
              <w:t xml:space="preserve">ctionnaires </w:t>
            </w:r>
            <w:r w:rsidRPr="00552CC4">
              <w:rPr>
                <w:bCs/>
                <w:sz w:val="20"/>
                <w:szCs w:val="20"/>
              </w:rPr>
              <w:t>de la SPA EGH</w:t>
            </w:r>
            <w:r>
              <w:rPr>
                <w:bCs/>
                <w:sz w:val="20"/>
                <w:szCs w:val="20"/>
              </w:rPr>
              <w:t xml:space="preserve"> CHAINE </w:t>
            </w:r>
            <w:r w:rsidRPr="00552CC4">
              <w:rPr>
                <w:bCs/>
                <w:sz w:val="20"/>
                <w:szCs w:val="20"/>
              </w:rPr>
              <w:t xml:space="preserve"> EL AURASSI</w:t>
            </w:r>
            <w:r w:rsidR="00823644" w:rsidRPr="00552CC4">
              <w:rPr>
                <w:bCs/>
                <w:sz w:val="20"/>
                <w:szCs w:val="20"/>
              </w:rPr>
              <w:t>,</w:t>
            </w:r>
          </w:p>
          <w:p w:rsidR="000467B1" w:rsidRDefault="00823644" w:rsidP="000467B1">
            <w:pPr>
              <w:pStyle w:val="Corpsdetexte"/>
              <w:jc w:val="left"/>
              <w:rPr>
                <w:bCs/>
                <w:sz w:val="20"/>
                <w:szCs w:val="20"/>
              </w:rPr>
            </w:pPr>
            <w:r w:rsidRPr="00AD535E">
              <w:rPr>
                <w:b/>
                <w:bCs/>
                <w:sz w:val="20"/>
                <w:szCs w:val="20"/>
              </w:rPr>
              <w:t>Décide</w:t>
            </w:r>
            <w:r w:rsidR="002E41DF" w:rsidRPr="00552CC4">
              <w:rPr>
                <w:bCs/>
                <w:sz w:val="20"/>
                <w:szCs w:val="20"/>
              </w:rPr>
              <w:t xml:space="preserve"> d’affecter le</w:t>
            </w:r>
            <w:r w:rsidR="000467B1">
              <w:rPr>
                <w:bCs/>
                <w:sz w:val="20"/>
                <w:szCs w:val="20"/>
              </w:rPr>
              <w:t xml:space="preserve"> résultat</w:t>
            </w:r>
            <w:r w:rsidR="00E55708">
              <w:rPr>
                <w:bCs/>
                <w:sz w:val="20"/>
                <w:szCs w:val="20"/>
              </w:rPr>
              <w:t xml:space="preserve"> déf</w:t>
            </w:r>
            <w:r w:rsidR="00D1332B">
              <w:rPr>
                <w:bCs/>
                <w:sz w:val="20"/>
                <w:szCs w:val="20"/>
              </w:rPr>
              <w:t xml:space="preserve">icitaire  net de l’exercice 2021  </w:t>
            </w:r>
            <w:r w:rsidR="002E41DF" w:rsidRPr="00552CC4">
              <w:rPr>
                <w:bCs/>
                <w:sz w:val="20"/>
                <w:szCs w:val="20"/>
              </w:rPr>
              <w:t>d’un montant de</w:t>
            </w:r>
          </w:p>
          <w:p w:rsidR="002E41DF" w:rsidRDefault="00D1332B" w:rsidP="00D1332B">
            <w:pPr>
              <w:pStyle w:val="Corpsdetexte"/>
              <w:jc w:val="left"/>
              <w:rPr>
                <w:bCs/>
                <w:sz w:val="20"/>
                <w:szCs w:val="20"/>
              </w:rPr>
            </w:pPr>
            <w:r>
              <w:rPr>
                <w:bCs/>
                <w:sz w:val="20"/>
                <w:szCs w:val="20"/>
              </w:rPr>
              <w:t>506</w:t>
            </w:r>
            <w:r w:rsidR="0066025E">
              <w:rPr>
                <w:bCs/>
                <w:sz w:val="20"/>
                <w:szCs w:val="20"/>
              </w:rPr>
              <w:t>.</w:t>
            </w:r>
            <w:r>
              <w:rPr>
                <w:bCs/>
                <w:sz w:val="20"/>
                <w:szCs w:val="20"/>
              </w:rPr>
              <w:t>920</w:t>
            </w:r>
            <w:r w:rsidR="0066025E">
              <w:rPr>
                <w:bCs/>
                <w:sz w:val="20"/>
                <w:szCs w:val="20"/>
              </w:rPr>
              <w:t>.</w:t>
            </w:r>
            <w:r>
              <w:rPr>
                <w:bCs/>
                <w:sz w:val="20"/>
                <w:szCs w:val="20"/>
              </w:rPr>
              <w:t>133</w:t>
            </w:r>
            <w:r w:rsidR="000C7817">
              <w:rPr>
                <w:bCs/>
                <w:sz w:val="20"/>
                <w:szCs w:val="20"/>
              </w:rPr>
              <w:t xml:space="preserve">, </w:t>
            </w:r>
            <w:r>
              <w:rPr>
                <w:bCs/>
                <w:sz w:val="20"/>
                <w:szCs w:val="20"/>
              </w:rPr>
              <w:t xml:space="preserve">02 </w:t>
            </w:r>
            <w:r w:rsidR="000467B1">
              <w:rPr>
                <w:bCs/>
                <w:sz w:val="20"/>
                <w:szCs w:val="20"/>
              </w:rPr>
              <w:t>DA au compte «  Report à nouveau ».</w:t>
            </w:r>
          </w:p>
          <w:p w:rsidR="002E41DF" w:rsidRPr="00261131" w:rsidRDefault="002E41DF" w:rsidP="000C7817">
            <w:pPr>
              <w:pStyle w:val="Corpsdetexte"/>
              <w:jc w:val="both"/>
              <w:rPr>
                <w:bCs/>
                <w:sz w:val="20"/>
                <w:szCs w:val="20"/>
              </w:rPr>
            </w:pPr>
          </w:p>
        </w:tc>
        <w:tc>
          <w:tcPr>
            <w:tcW w:w="0" w:type="auto"/>
          </w:tcPr>
          <w:p w:rsidR="002E41DF" w:rsidRPr="0085187B" w:rsidRDefault="002E41DF" w:rsidP="00663A0C">
            <w:pPr>
              <w:jc w:val="center"/>
              <w:rPr>
                <w:b/>
                <w:bCs/>
                <w:color w:val="365F91"/>
                <w:sz w:val="28"/>
                <w:szCs w:val="28"/>
              </w:rPr>
            </w:pPr>
          </w:p>
          <w:p w:rsidR="002E41DF" w:rsidRPr="0093701B" w:rsidRDefault="002E41DF" w:rsidP="00663A0C">
            <w:pPr>
              <w:jc w:val="center"/>
              <w:rPr>
                <w:b/>
                <w:bCs/>
                <w:color w:val="365F91"/>
                <w:sz w:val="28"/>
                <w:szCs w:val="28"/>
                <w:u w:val="single"/>
              </w:rPr>
            </w:pPr>
            <w:r w:rsidRPr="0093701B">
              <w:rPr>
                <w:b/>
                <w:bCs/>
                <w:color w:val="365F91"/>
                <w:sz w:val="28"/>
                <w:szCs w:val="28"/>
                <w:u w:val="single"/>
              </w:rPr>
              <w:t>Appliquée</w:t>
            </w:r>
          </w:p>
        </w:tc>
      </w:tr>
      <w:tr w:rsidR="00374F0C" w:rsidRPr="0085187B" w:rsidTr="001A52FB">
        <w:trPr>
          <w:trHeight w:val="2076"/>
        </w:trPr>
        <w:tc>
          <w:tcPr>
            <w:tcW w:w="0" w:type="auto"/>
          </w:tcPr>
          <w:p w:rsidR="00374F0C" w:rsidRDefault="00374F0C" w:rsidP="00A83DCD">
            <w:pPr>
              <w:jc w:val="center"/>
              <w:rPr>
                <w:b/>
                <w:bCs/>
                <w:color w:val="0000FF"/>
              </w:rPr>
            </w:pPr>
          </w:p>
          <w:p w:rsidR="001A52FB" w:rsidRDefault="000467B1" w:rsidP="00A83DCD">
            <w:pPr>
              <w:jc w:val="center"/>
              <w:rPr>
                <w:b/>
                <w:bCs/>
                <w:color w:val="0000FF"/>
              </w:rPr>
            </w:pPr>
            <w:r>
              <w:rPr>
                <w:b/>
                <w:bCs/>
                <w:color w:val="0000FF"/>
              </w:rPr>
              <w:t>3</w:t>
            </w:r>
            <w:r w:rsidR="00374F0C" w:rsidRPr="0085187B">
              <w:rPr>
                <w:b/>
                <w:bCs/>
                <w:color w:val="0000FF"/>
                <w:vertAlign w:val="superscript"/>
              </w:rPr>
              <w:t>éme</w:t>
            </w:r>
            <w:r w:rsidR="00374F0C" w:rsidRPr="0085187B">
              <w:rPr>
                <w:b/>
                <w:bCs/>
                <w:color w:val="0000FF"/>
              </w:rPr>
              <w:t xml:space="preserve">  Résolution</w:t>
            </w:r>
          </w:p>
          <w:p w:rsidR="001A52FB" w:rsidRPr="001A52FB" w:rsidRDefault="001A52FB" w:rsidP="001A52FB"/>
          <w:p w:rsidR="001A52FB" w:rsidRPr="001A52FB" w:rsidRDefault="001A52FB" w:rsidP="001A52FB"/>
          <w:p w:rsidR="001A52FB" w:rsidRPr="001A52FB" w:rsidRDefault="001A52FB" w:rsidP="001A52FB"/>
          <w:p w:rsidR="001A52FB" w:rsidRPr="001A52FB" w:rsidRDefault="001A52FB" w:rsidP="001A52FB"/>
          <w:p w:rsidR="00374F0C" w:rsidRPr="001A52FB" w:rsidRDefault="00374F0C" w:rsidP="001A52FB"/>
        </w:tc>
        <w:tc>
          <w:tcPr>
            <w:tcW w:w="0" w:type="auto"/>
          </w:tcPr>
          <w:p w:rsidR="000C7817" w:rsidRDefault="000C7817" w:rsidP="00952534">
            <w:pPr>
              <w:pStyle w:val="Corpsdetexte"/>
              <w:jc w:val="both"/>
              <w:rPr>
                <w:bCs/>
                <w:sz w:val="20"/>
                <w:szCs w:val="20"/>
              </w:rPr>
            </w:pPr>
          </w:p>
          <w:p w:rsidR="000C7817" w:rsidRDefault="000C7817" w:rsidP="00D1332B">
            <w:pPr>
              <w:pStyle w:val="Corpsdetexte"/>
              <w:jc w:val="both"/>
              <w:rPr>
                <w:bCs/>
                <w:sz w:val="20"/>
                <w:szCs w:val="20"/>
              </w:rPr>
            </w:pPr>
            <w:r w:rsidRPr="001A3147">
              <w:rPr>
                <w:bCs/>
                <w:sz w:val="20"/>
                <w:szCs w:val="20"/>
              </w:rPr>
              <w:t xml:space="preserve">L’Assemblée Générale Ordinaire </w:t>
            </w:r>
            <w:r w:rsidR="00E55708">
              <w:rPr>
                <w:bCs/>
                <w:sz w:val="20"/>
                <w:szCs w:val="20"/>
              </w:rPr>
              <w:t>des A</w:t>
            </w:r>
            <w:r>
              <w:rPr>
                <w:bCs/>
                <w:sz w:val="20"/>
                <w:szCs w:val="20"/>
              </w:rPr>
              <w:t xml:space="preserve">ctionnaires </w:t>
            </w:r>
            <w:r w:rsidRPr="001A3147">
              <w:rPr>
                <w:bCs/>
                <w:sz w:val="20"/>
                <w:szCs w:val="20"/>
              </w:rPr>
              <w:t xml:space="preserve">de la SPA EGH </w:t>
            </w:r>
            <w:r>
              <w:rPr>
                <w:bCs/>
                <w:sz w:val="20"/>
                <w:szCs w:val="20"/>
              </w:rPr>
              <w:t xml:space="preserve">CHAINE </w:t>
            </w:r>
            <w:r w:rsidRPr="001A3147">
              <w:rPr>
                <w:bCs/>
                <w:sz w:val="20"/>
                <w:szCs w:val="20"/>
              </w:rPr>
              <w:t>EL-AURASSI,</w:t>
            </w:r>
            <w:r>
              <w:rPr>
                <w:bCs/>
                <w:sz w:val="20"/>
                <w:szCs w:val="20"/>
              </w:rPr>
              <w:t xml:space="preserve"> arrête le taux, au titre de la rémunération de la pa</w:t>
            </w:r>
            <w:r w:rsidR="00D1332B">
              <w:rPr>
                <w:bCs/>
                <w:sz w:val="20"/>
                <w:szCs w:val="20"/>
              </w:rPr>
              <w:t>rtie variable de l'exercice 2021</w:t>
            </w:r>
            <w:r>
              <w:rPr>
                <w:bCs/>
                <w:sz w:val="20"/>
                <w:szCs w:val="20"/>
              </w:rPr>
              <w:t xml:space="preserve"> du Cadre Dirigeant Principal et des Cadres Dir</w:t>
            </w:r>
            <w:r w:rsidR="000467B1">
              <w:rPr>
                <w:bCs/>
                <w:sz w:val="20"/>
                <w:szCs w:val="20"/>
              </w:rPr>
              <w:t xml:space="preserve">igeants, à </w:t>
            </w:r>
            <w:r w:rsidR="00D1332B">
              <w:rPr>
                <w:bCs/>
                <w:sz w:val="20"/>
                <w:szCs w:val="20"/>
              </w:rPr>
              <w:t xml:space="preserve">quatre-vingt-dix </w:t>
            </w:r>
            <w:r w:rsidR="00E55708">
              <w:rPr>
                <w:bCs/>
                <w:sz w:val="20"/>
                <w:szCs w:val="20"/>
              </w:rPr>
              <w:t xml:space="preserve"> pour cent  (</w:t>
            </w:r>
            <w:r w:rsidR="00D1332B">
              <w:rPr>
                <w:bCs/>
                <w:sz w:val="20"/>
                <w:szCs w:val="20"/>
              </w:rPr>
              <w:t>90</w:t>
            </w:r>
            <w:r>
              <w:rPr>
                <w:bCs/>
                <w:sz w:val="20"/>
                <w:szCs w:val="20"/>
              </w:rPr>
              <w:t xml:space="preserve">)% (brut), de la rémunération fixe annuelle. </w:t>
            </w:r>
          </w:p>
          <w:p w:rsidR="001A52FB" w:rsidRPr="000C7817" w:rsidRDefault="000C7817" w:rsidP="003F0460">
            <w:pPr>
              <w:pStyle w:val="Corpsdetexte"/>
              <w:jc w:val="both"/>
              <w:rPr>
                <w:bCs/>
                <w:sz w:val="20"/>
                <w:szCs w:val="20"/>
              </w:rPr>
            </w:pPr>
            <w:r>
              <w:rPr>
                <w:bCs/>
                <w:sz w:val="20"/>
                <w:szCs w:val="20"/>
              </w:rPr>
              <w:t>La rémunération variable libérée par le Conseil d’Administration, au titre de l'exercice considéré est déductible du montant global à percevoir.</w:t>
            </w:r>
          </w:p>
        </w:tc>
        <w:tc>
          <w:tcPr>
            <w:tcW w:w="0" w:type="auto"/>
          </w:tcPr>
          <w:p w:rsidR="00374F0C" w:rsidRDefault="00374F0C" w:rsidP="00663A0C"/>
          <w:p w:rsidR="000C7817" w:rsidRPr="00A33FA2" w:rsidRDefault="000C7817" w:rsidP="00663A0C"/>
          <w:p w:rsidR="00374F0C" w:rsidRPr="00A33FA2" w:rsidRDefault="00374F0C" w:rsidP="00663A0C"/>
          <w:p w:rsidR="00374F0C" w:rsidRPr="0093701B" w:rsidRDefault="00374F0C" w:rsidP="00663A0C">
            <w:pPr>
              <w:rPr>
                <w:u w:val="single"/>
              </w:rPr>
            </w:pPr>
            <w:r w:rsidRPr="0093701B">
              <w:rPr>
                <w:b/>
                <w:bCs/>
                <w:color w:val="365F91"/>
                <w:sz w:val="28"/>
                <w:szCs w:val="28"/>
                <w:u w:val="single"/>
              </w:rPr>
              <w:t>Appliquée</w:t>
            </w:r>
          </w:p>
          <w:p w:rsidR="00374F0C" w:rsidRPr="00A33FA2" w:rsidRDefault="00374F0C" w:rsidP="00663A0C"/>
          <w:p w:rsidR="00374F0C" w:rsidRPr="00A33FA2" w:rsidRDefault="00374F0C" w:rsidP="00663A0C"/>
          <w:p w:rsidR="001A52FB" w:rsidRDefault="001A52FB" w:rsidP="00EA75D1"/>
          <w:p w:rsidR="00374F0C" w:rsidRPr="001A52FB" w:rsidRDefault="00374F0C" w:rsidP="001A52FB">
            <w:pPr>
              <w:jc w:val="center"/>
            </w:pPr>
          </w:p>
        </w:tc>
      </w:tr>
      <w:tr w:rsidR="001A52FB" w:rsidRPr="0085187B" w:rsidTr="003F0460">
        <w:trPr>
          <w:trHeight w:val="1900"/>
        </w:trPr>
        <w:tc>
          <w:tcPr>
            <w:tcW w:w="0" w:type="auto"/>
          </w:tcPr>
          <w:p w:rsidR="001A52FB" w:rsidRPr="001A52FB" w:rsidRDefault="001A52FB" w:rsidP="001A52FB"/>
          <w:p w:rsidR="001A52FB" w:rsidRPr="001A52FB" w:rsidRDefault="001A52FB" w:rsidP="001A52FB"/>
          <w:p w:rsidR="001A52FB" w:rsidRDefault="001A52FB" w:rsidP="001A52FB"/>
          <w:p w:rsidR="001A52FB" w:rsidRDefault="001A52FB" w:rsidP="001A52FB">
            <w:pPr>
              <w:rPr>
                <w:b/>
                <w:bCs/>
                <w:color w:val="0000FF"/>
              </w:rPr>
            </w:pPr>
            <w:r>
              <w:rPr>
                <w:b/>
                <w:bCs/>
                <w:color w:val="0000FF"/>
              </w:rPr>
              <w:t xml:space="preserve">      4</w:t>
            </w:r>
            <w:r w:rsidRPr="0085187B">
              <w:rPr>
                <w:b/>
                <w:bCs/>
                <w:color w:val="0000FF"/>
                <w:vertAlign w:val="superscript"/>
              </w:rPr>
              <w:t>éme</w:t>
            </w:r>
            <w:r w:rsidRPr="0085187B">
              <w:rPr>
                <w:b/>
                <w:bCs/>
                <w:color w:val="0000FF"/>
              </w:rPr>
              <w:t xml:space="preserve">  Résolution</w:t>
            </w:r>
          </w:p>
        </w:tc>
        <w:tc>
          <w:tcPr>
            <w:tcW w:w="0" w:type="auto"/>
          </w:tcPr>
          <w:p w:rsidR="001A52FB" w:rsidRDefault="001A52FB" w:rsidP="000C7817">
            <w:pPr>
              <w:pStyle w:val="Corpsdetexte"/>
              <w:jc w:val="both"/>
              <w:rPr>
                <w:bCs/>
                <w:sz w:val="20"/>
                <w:szCs w:val="20"/>
              </w:rPr>
            </w:pPr>
          </w:p>
          <w:p w:rsidR="001A52FB" w:rsidRDefault="001A52FB" w:rsidP="001A52FB">
            <w:pPr>
              <w:pStyle w:val="Corpsdetexte"/>
              <w:jc w:val="both"/>
              <w:rPr>
                <w:bCs/>
                <w:sz w:val="20"/>
                <w:szCs w:val="20"/>
              </w:rPr>
            </w:pPr>
            <w:r w:rsidRPr="001A3147">
              <w:rPr>
                <w:bCs/>
                <w:sz w:val="20"/>
                <w:szCs w:val="20"/>
              </w:rPr>
              <w:t xml:space="preserve">L’Assemblée Générale Ordinaire </w:t>
            </w:r>
            <w:r>
              <w:rPr>
                <w:bCs/>
                <w:sz w:val="20"/>
                <w:szCs w:val="20"/>
              </w:rPr>
              <w:t xml:space="preserve">des Actionnaires </w:t>
            </w:r>
            <w:r w:rsidRPr="001A3147">
              <w:rPr>
                <w:bCs/>
                <w:sz w:val="20"/>
                <w:szCs w:val="20"/>
              </w:rPr>
              <w:t xml:space="preserve">de la SPA EGH </w:t>
            </w:r>
            <w:r>
              <w:rPr>
                <w:bCs/>
                <w:sz w:val="20"/>
                <w:szCs w:val="20"/>
              </w:rPr>
              <w:t xml:space="preserve">CHAINE </w:t>
            </w:r>
            <w:r w:rsidRPr="001A3147">
              <w:rPr>
                <w:bCs/>
                <w:sz w:val="20"/>
                <w:szCs w:val="20"/>
              </w:rPr>
              <w:t>EL-AURASSI,</w:t>
            </w:r>
            <w:r>
              <w:rPr>
                <w:bCs/>
                <w:sz w:val="20"/>
                <w:szCs w:val="20"/>
              </w:rPr>
              <w:t xml:space="preserve"> prend acte de la tenue de quatre (04) réunions supplémentaires du Conseil d’Administration durant l’exercice 2021 et autorise, à titre de régularisation, leur comptabilisation  en tant que charges d’exploitation.</w:t>
            </w:r>
          </w:p>
        </w:tc>
        <w:tc>
          <w:tcPr>
            <w:tcW w:w="0" w:type="auto"/>
          </w:tcPr>
          <w:p w:rsidR="001A52FB" w:rsidRPr="001A52FB" w:rsidRDefault="001A52FB" w:rsidP="001A52FB"/>
          <w:p w:rsidR="001A52FB" w:rsidRPr="001A52FB" w:rsidRDefault="001A52FB" w:rsidP="001A52FB"/>
          <w:p w:rsidR="001A52FB" w:rsidRPr="001A52FB" w:rsidRDefault="001A52FB" w:rsidP="001A52FB"/>
          <w:p w:rsidR="001A52FB" w:rsidRPr="001A52FB" w:rsidRDefault="001A52FB" w:rsidP="001A52FB"/>
          <w:p w:rsidR="001A52FB" w:rsidRDefault="001A52FB" w:rsidP="001A52FB"/>
          <w:p w:rsidR="001A52FB" w:rsidRPr="0093701B" w:rsidRDefault="001A52FB" w:rsidP="001A52FB">
            <w:pPr>
              <w:rPr>
                <w:u w:val="single"/>
              </w:rPr>
            </w:pPr>
            <w:r w:rsidRPr="0093701B">
              <w:rPr>
                <w:b/>
                <w:bCs/>
                <w:color w:val="365F91"/>
                <w:sz w:val="28"/>
                <w:szCs w:val="28"/>
                <w:u w:val="single"/>
              </w:rPr>
              <w:t>Appliquée</w:t>
            </w:r>
          </w:p>
          <w:p w:rsidR="001A52FB" w:rsidRDefault="001A52FB" w:rsidP="001A52FB">
            <w:pPr>
              <w:jc w:val="center"/>
            </w:pPr>
          </w:p>
        </w:tc>
      </w:tr>
      <w:tr w:rsidR="00374F0C" w:rsidTr="00225131">
        <w:trPr>
          <w:trHeight w:val="3521"/>
        </w:trPr>
        <w:tc>
          <w:tcPr>
            <w:tcW w:w="0" w:type="auto"/>
          </w:tcPr>
          <w:p w:rsidR="00374F0C" w:rsidRDefault="00374F0C" w:rsidP="00663A0C">
            <w:pPr>
              <w:jc w:val="center"/>
              <w:rPr>
                <w:b/>
                <w:bCs/>
                <w:color w:val="0000FF"/>
              </w:rPr>
            </w:pPr>
          </w:p>
          <w:p w:rsidR="003F0460" w:rsidRDefault="003F0460" w:rsidP="00663A0C">
            <w:pPr>
              <w:jc w:val="center"/>
              <w:rPr>
                <w:b/>
                <w:bCs/>
                <w:color w:val="0000FF"/>
              </w:rPr>
            </w:pPr>
            <w:r>
              <w:rPr>
                <w:b/>
                <w:bCs/>
                <w:color w:val="0000FF"/>
              </w:rPr>
              <w:t>5</w:t>
            </w:r>
            <w:r w:rsidR="00374F0C" w:rsidRPr="0085187B">
              <w:rPr>
                <w:b/>
                <w:bCs/>
                <w:color w:val="0000FF"/>
                <w:vertAlign w:val="superscript"/>
              </w:rPr>
              <w:t>éme</w:t>
            </w:r>
            <w:r w:rsidR="00374F0C" w:rsidRPr="0085187B">
              <w:rPr>
                <w:b/>
                <w:bCs/>
                <w:color w:val="0000FF"/>
              </w:rPr>
              <w:t xml:space="preserve">  Résolution</w:t>
            </w:r>
          </w:p>
          <w:p w:rsidR="003F0460" w:rsidRPr="003F0460" w:rsidRDefault="003F0460" w:rsidP="003F0460"/>
          <w:p w:rsidR="003F0460" w:rsidRPr="003F0460" w:rsidRDefault="003F0460" w:rsidP="003F0460"/>
          <w:p w:rsidR="003F0460" w:rsidRPr="003F0460" w:rsidRDefault="003F0460" w:rsidP="003F0460"/>
          <w:p w:rsidR="003F0460" w:rsidRPr="003F0460" w:rsidRDefault="003F0460" w:rsidP="003F0460"/>
          <w:p w:rsidR="003F0460" w:rsidRPr="003F0460" w:rsidRDefault="003F0460" w:rsidP="003F0460"/>
          <w:p w:rsidR="003F0460" w:rsidRPr="003F0460" w:rsidRDefault="003F0460" w:rsidP="003F0460"/>
          <w:p w:rsidR="003F0460" w:rsidRPr="003F0460" w:rsidRDefault="003F0460" w:rsidP="003F0460"/>
          <w:p w:rsidR="003F0460" w:rsidRPr="003F0460" w:rsidRDefault="003F0460" w:rsidP="003F0460"/>
          <w:p w:rsidR="003F0460" w:rsidRPr="003F0460" w:rsidRDefault="003F0460" w:rsidP="003F0460"/>
          <w:p w:rsidR="00374F0C" w:rsidRPr="003F0460" w:rsidRDefault="00374F0C" w:rsidP="003F0460">
            <w:pPr>
              <w:jc w:val="center"/>
            </w:pPr>
          </w:p>
        </w:tc>
        <w:tc>
          <w:tcPr>
            <w:tcW w:w="0" w:type="auto"/>
          </w:tcPr>
          <w:p w:rsidR="000C7817" w:rsidRDefault="000C7817" w:rsidP="003C273E"/>
          <w:p w:rsidR="000C7817" w:rsidRDefault="000C7817" w:rsidP="003F0460">
            <w:pPr>
              <w:pStyle w:val="Corpsdetexte"/>
              <w:jc w:val="both"/>
              <w:rPr>
                <w:bCs/>
                <w:sz w:val="20"/>
                <w:szCs w:val="20"/>
              </w:rPr>
            </w:pPr>
            <w:r>
              <w:rPr>
                <w:bCs/>
                <w:sz w:val="20"/>
                <w:szCs w:val="20"/>
              </w:rPr>
              <w:t>L’As</w:t>
            </w:r>
            <w:r w:rsidR="00C3011D">
              <w:rPr>
                <w:bCs/>
                <w:sz w:val="20"/>
                <w:szCs w:val="20"/>
              </w:rPr>
              <w:t>semblée Générale Ordinaire des A</w:t>
            </w:r>
            <w:r>
              <w:rPr>
                <w:bCs/>
                <w:sz w:val="20"/>
                <w:szCs w:val="20"/>
              </w:rPr>
              <w:t xml:space="preserve">ctionnaires de la SPA EGH CHAINE EL-AURASSI alloue aux membres du Conseil d'Administration une somme fixée à </w:t>
            </w:r>
            <w:r w:rsidR="003F0460">
              <w:rPr>
                <w:bCs/>
                <w:sz w:val="20"/>
                <w:szCs w:val="20"/>
              </w:rPr>
              <w:t>trente mille (3</w:t>
            </w:r>
            <w:r>
              <w:rPr>
                <w:bCs/>
                <w:sz w:val="20"/>
                <w:szCs w:val="20"/>
              </w:rPr>
              <w:t>0.000,00) DA, brut, par administrateur et par réunion du Conseil d'Administration au titre des jetons de présence.</w:t>
            </w:r>
          </w:p>
          <w:p w:rsidR="000C7817" w:rsidRDefault="000C7817" w:rsidP="000C7817">
            <w:pPr>
              <w:pStyle w:val="Corpsdetexte"/>
              <w:jc w:val="both"/>
              <w:rPr>
                <w:bCs/>
                <w:sz w:val="20"/>
                <w:szCs w:val="20"/>
              </w:rPr>
            </w:pPr>
            <w:r>
              <w:rPr>
                <w:bCs/>
                <w:sz w:val="20"/>
                <w:szCs w:val="20"/>
              </w:rPr>
              <w:t>Les jetons de présence ne sont dus que pour les présences effectives aux réunions du Conseil d'Administration.</w:t>
            </w:r>
          </w:p>
          <w:p w:rsidR="000C7817" w:rsidRDefault="000C7817" w:rsidP="000C7817">
            <w:pPr>
              <w:pStyle w:val="Corpsdetexte"/>
              <w:jc w:val="both"/>
              <w:rPr>
                <w:bCs/>
                <w:sz w:val="20"/>
                <w:szCs w:val="20"/>
              </w:rPr>
            </w:pPr>
            <w:r>
              <w:rPr>
                <w:bCs/>
                <w:sz w:val="20"/>
                <w:szCs w:val="20"/>
              </w:rPr>
              <w:t>Une provision annuelle correspondant au paiement des jetons de présence de six (06) réunions  du Conseil d'Administration sera portée aux charges d'exploitation de l'entreprise.</w:t>
            </w:r>
          </w:p>
          <w:p w:rsidR="000C7817" w:rsidRDefault="000C7817" w:rsidP="000C7817">
            <w:pPr>
              <w:pStyle w:val="Corpsdetexte"/>
              <w:jc w:val="both"/>
              <w:rPr>
                <w:bCs/>
                <w:sz w:val="20"/>
                <w:szCs w:val="20"/>
              </w:rPr>
            </w:pPr>
            <w:r>
              <w:rPr>
                <w:bCs/>
                <w:sz w:val="20"/>
                <w:szCs w:val="20"/>
              </w:rPr>
              <w:t>Les frais exposés à l'occasion de toutes les réunions du Conseil d'Administration (transport, restauration hébergement, etc.....) sont supportés ou remboursés par l’entreprise.</w:t>
            </w:r>
          </w:p>
          <w:p w:rsidR="000C7817" w:rsidRDefault="000C7817" w:rsidP="000C7817">
            <w:pPr>
              <w:pStyle w:val="Corpsdetexte"/>
              <w:jc w:val="both"/>
              <w:rPr>
                <w:bCs/>
                <w:sz w:val="20"/>
                <w:szCs w:val="20"/>
              </w:rPr>
            </w:pPr>
            <w:r>
              <w:rPr>
                <w:bCs/>
                <w:sz w:val="20"/>
                <w:szCs w:val="20"/>
              </w:rPr>
              <w:t>A titre exceptionnel, ce nombre peut être dépassé, à charge pour le Conseil d'Administration de donner les justifications nécessaires à l'Assemblée Générale.</w:t>
            </w:r>
          </w:p>
          <w:p w:rsidR="000D537E" w:rsidRDefault="000D537E" w:rsidP="00663A0C">
            <w:pPr>
              <w:rPr>
                <w:sz w:val="22"/>
                <w:szCs w:val="22"/>
              </w:rPr>
            </w:pPr>
          </w:p>
          <w:p w:rsidR="003F0460" w:rsidRPr="008F5F9A" w:rsidRDefault="003F0460" w:rsidP="00663A0C">
            <w:pPr>
              <w:rPr>
                <w:sz w:val="22"/>
                <w:szCs w:val="22"/>
              </w:rPr>
            </w:pPr>
          </w:p>
        </w:tc>
        <w:tc>
          <w:tcPr>
            <w:tcW w:w="0" w:type="auto"/>
          </w:tcPr>
          <w:p w:rsidR="00374F0C" w:rsidRDefault="00374F0C" w:rsidP="00663A0C"/>
          <w:p w:rsidR="00374F0C" w:rsidRPr="00367F1C" w:rsidRDefault="00374F0C" w:rsidP="00663A0C"/>
          <w:p w:rsidR="00374F0C" w:rsidRPr="00367F1C" w:rsidRDefault="00374F0C" w:rsidP="00663A0C"/>
          <w:p w:rsidR="000C7817" w:rsidRDefault="000C7817" w:rsidP="00663A0C">
            <w:pPr>
              <w:rPr>
                <w:b/>
                <w:bCs/>
                <w:color w:val="365F91"/>
                <w:sz w:val="28"/>
                <w:szCs w:val="28"/>
              </w:rPr>
            </w:pPr>
          </w:p>
          <w:p w:rsidR="000C7817" w:rsidRDefault="000C7817" w:rsidP="00663A0C">
            <w:pPr>
              <w:rPr>
                <w:b/>
                <w:bCs/>
                <w:color w:val="365F91"/>
                <w:sz w:val="28"/>
                <w:szCs w:val="28"/>
              </w:rPr>
            </w:pPr>
          </w:p>
          <w:p w:rsidR="00374F0C" w:rsidRPr="00367F1C" w:rsidRDefault="008F5F9A" w:rsidP="00663A0C">
            <w:r w:rsidRPr="0093701B">
              <w:rPr>
                <w:b/>
                <w:bCs/>
                <w:color w:val="365F91"/>
                <w:sz w:val="28"/>
                <w:szCs w:val="28"/>
                <w:u w:val="single"/>
              </w:rPr>
              <w:t>Appliquée</w:t>
            </w:r>
          </w:p>
          <w:p w:rsidR="00374F0C" w:rsidRPr="0093701B" w:rsidRDefault="00374F0C" w:rsidP="00663A0C">
            <w:pPr>
              <w:ind w:firstLine="708"/>
              <w:rPr>
                <w:u w:val="single"/>
              </w:rPr>
            </w:pPr>
          </w:p>
        </w:tc>
      </w:tr>
      <w:tr w:rsidR="00225131" w:rsidTr="000C7817">
        <w:trPr>
          <w:trHeight w:val="3553"/>
        </w:trPr>
        <w:tc>
          <w:tcPr>
            <w:tcW w:w="0" w:type="auto"/>
          </w:tcPr>
          <w:p w:rsidR="00225131" w:rsidRPr="003F0460" w:rsidRDefault="00225131" w:rsidP="003F0460"/>
          <w:p w:rsidR="00225131" w:rsidRDefault="00225131" w:rsidP="003F0460"/>
          <w:p w:rsidR="00225131" w:rsidRDefault="00225131" w:rsidP="003F0460">
            <w:pPr>
              <w:jc w:val="center"/>
              <w:rPr>
                <w:b/>
                <w:bCs/>
                <w:color w:val="0000FF"/>
              </w:rPr>
            </w:pPr>
            <w:r>
              <w:rPr>
                <w:b/>
                <w:bCs/>
                <w:color w:val="0000FF"/>
              </w:rPr>
              <w:t>6</w:t>
            </w:r>
            <w:r w:rsidRPr="0085187B">
              <w:rPr>
                <w:b/>
                <w:bCs/>
                <w:color w:val="0000FF"/>
                <w:vertAlign w:val="superscript"/>
              </w:rPr>
              <w:t>éme</w:t>
            </w:r>
            <w:r w:rsidRPr="0085187B">
              <w:rPr>
                <w:b/>
                <w:bCs/>
                <w:color w:val="0000FF"/>
              </w:rPr>
              <w:t xml:space="preserve">  Résolution</w:t>
            </w:r>
          </w:p>
          <w:p w:rsidR="00225131" w:rsidRDefault="00225131" w:rsidP="003F0460">
            <w:pPr>
              <w:jc w:val="center"/>
              <w:rPr>
                <w:b/>
                <w:bCs/>
                <w:color w:val="0000FF"/>
              </w:rPr>
            </w:pPr>
          </w:p>
        </w:tc>
        <w:tc>
          <w:tcPr>
            <w:tcW w:w="0" w:type="auto"/>
          </w:tcPr>
          <w:p w:rsidR="00225131" w:rsidRDefault="00225131" w:rsidP="00663A0C">
            <w:pPr>
              <w:rPr>
                <w:sz w:val="22"/>
                <w:szCs w:val="22"/>
              </w:rPr>
            </w:pPr>
          </w:p>
          <w:p w:rsidR="00225131" w:rsidRDefault="00225131" w:rsidP="00663A0C">
            <w:pPr>
              <w:rPr>
                <w:sz w:val="22"/>
                <w:szCs w:val="22"/>
              </w:rPr>
            </w:pPr>
          </w:p>
          <w:p w:rsidR="00225131" w:rsidRDefault="00225131" w:rsidP="00663A0C">
            <w:pPr>
              <w:rPr>
                <w:sz w:val="22"/>
                <w:szCs w:val="22"/>
              </w:rPr>
            </w:pPr>
          </w:p>
          <w:p w:rsidR="00225131" w:rsidRDefault="00225131" w:rsidP="003F0460">
            <w:pPr>
              <w:pStyle w:val="Corpsdetexte"/>
              <w:jc w:val="both"/>
              <w:rPr>
                <w:bCs/>
                <w:sz w:val="20"/>
                <w:szCs w:val="20"/>
              </w:rPr>
            </w:pPr>
            <w:r>
              <w:rPr>
                <w:bCs/>
                <w:sz w:val="20"/>
                <w:szCs w:val="20"/>
              </w:rPr>
              <w:t>L’Assemblée Générale Ordinaire des Actionnaires de la SPA EGH CHAINE EL-AURASSI :</w:t>
            </w:r>
          </w:p>
          <w:p w:rsidR="00225131" w:rsidRDefault="00225131" w:rsidP="003F0460">
            <w:pPr>
              <w:pStyle w:val="Corpsdetexte"/>
              <w:jc w:val="both"/>
              <w:rPr>
                <w:bCs/>
                <w:sz w:val="20"/>
                <w:szCs w:val="20"/>
              </w:rPr>
            </w:pPr>
          </w:p>
          <w:p w:rsidR="00225131" w:rsidRDefault="00225131" w:rsidP="003F0460">
            <w:pPr>
              <w:pStyle w:val="Corpsdetexte"/>
              <w:jc w:val="both"/>
              <w:rPr>
                <w:bCs/>
                <w:sz w:val="20"/>
                <w:szCs w:val="20"/>
              </w:rPr>
            </w:pPr>
          </w:p>
          <w:p w:rsidR="00225131" w:rsidRDefault="00225131" w:rsidP="003C00AA">
            <w:pPr>
              <w:pStyle w:val="Corpsdetexte"/>
              <w:numPr>
                <w:ilvl w:val="0"/>
                <w:numId w:val="23"/>
              </w:numPr>
              <w:jc w:val="both"/>
              <w:rPr>
                <w:bCs/>
                <w:sz w:val="20"/>
                <w:szCs w:val="20"/>
              </w:rPr>
            </w:pPr>
            <w:r>
              <w:rPr>
                <w:bCs/>
                <w:sz w:val="20"/>
                <w:szCs w:val="20"/>
              </w:rPr>
              <w:t xml:space="preserve">Prend acte des absences consécutives, au nombre de trois (03) de Monsieur OUARDI </w:t>
            </w:r>
            <w:proofErr w:type="spellStart"/>
            <w:r>
              <w:rPr>
                <w:bCs/>
                <w:sz w:val="20"/>
                <w:szCs w:val="20"/>
              </w:rPr>
              <w:t>Abdenacer</w:t>
            </w:r>
            <w:proofErr w:type="spellEnd"/>
            <w:r>
              <w:rPr>
                <w:bCs/>
                <w:sz w:val="20"/>
                <w:szCs w:val="20"/>
              </w:rPr>
              <w:t xml:space="preserve">, en sa qualité d’Administrateur, et décide de mettre </w:t>
            </w:r>
            <w:r w:rsidR="00961DCC">
              <w:rPr>
                <w:bCs/>
                <w:sz w:val="20"/>
                <w:szCs w:val="20"/>
              </w:rPr>
              <w:t>fin,</w:t>
            </w:r>
            <w:r>
              <w:rPr>
                <w:bCs/>
                <w:sz w:val="20"/>
                <w:szCs w:val="20"/>
              </w:rPr>
              <w:t xml:space="preserve"> à compter de ce </w:t>
            </w:r>
            <w:r w:rsidR="00961DCC">
              <w:rPr>
                <w:bCs/>
                <w:sz w:val="20"/>
                <w:szCs w:val="20"/>
              </w:rPr>
              <w:t>jour,</w:t>
            </w:r>
            <w:r>
              <w:rPr>
                <w:bCs/>
                <w:sz w:val="20"/>
                <w:szCs w:val="20"/>
              </w:rPr>
              <w:t xml:space="preserve"> à son mandat d’Administrateur  à la Spa EGH CHAINE EL-AURASSI, conformément  au règlement intérieur régissant le fonctionnement et les attributions du Conseil d’Administration de la société.</w:t>
            </w:r>
          </w:p>
          <w:p w:rsidR="00225131" w:rsidRPr="00225131" w:rsidRDefault="00225131" w:rsidP="003C00AA">
            <w:pPr>
              <w:pStyle w:val="Corpsdetexte"/>
              <w:numPr>
                <w:ilvl w:val="0"/>
                <w:numId w:val="23"/>
              </w:numPr>
              <w:jc w:val="both"/>
              <w:rPr>
                <w:bCs/>
                <w:sz w:val="20"/>
                <w:szCs w:val="20"/>
              </w:rPr>
            </w:pPr>
            <w:r>
              <w:rPr>
                <w:bCs/>
                <w:sz w:val="20"/>
                <w:szCs w:val="20"/>
              </w:rPr>
              <w:t xml:space="preserve">Entérine la désignation de Monsieur BENTALEB </w:t>
            </w:r>
            <w:proofErr w:type="spellStart"/>
            <w:r>
              <w:rPr>
                <w:bCs/>
                <w:sz w:val="20"/>
                <w:szCs w:val="20"/>
              </w:rPr>
              <w:t>Faycal</w:t>
            </w:r>
            <w:proofErr w:type="spellEnd"/>
            <w:r>
              <w:rPr>
                <w:bCs/>
                <w:sz w:val="20"/>
                <w:szCs w:val="20"/>
              </w:rPr>
              <w:t>, en qualité d’Administrateur représentant le Groupe Hôtellerie, Tourisme et Thermalisme, et ce, pour un mandat de trois (03) années à compter du 05 Décembre 2021.</w:t>
            </w:r>
          </w:p>
          <w:p w:rsidR="00225131" w:rsidRDefault="00225131" w:rsidP="00663A0C"/>
        </w:tc>
        <w:tc>
          <w:tcPr>
            <w:tcW w:w="0" w:type="auto"/>
          </w:tcPr>
          <w:p w:rsidR="00961DCC" w:rsidRDefault="00961DCC" w:rsidP="00663A0C">
            <w:pPr>
              <w:ind w:firstLine="708"/>
            </w:pPr>
          </w:p>
          <w:p w:rsidR="00961DCC" w:rsidRPr="00961DCC" w:rsidRDefault="00961DCC" w:rsidP="00961DCC"/>
          <w:p w:rsidR="00961DCC" w:rsidRPr="00961DCC" w:rsidRDefault="00961DCC" w:rsidP="00961DCC"/>
          <w:p w:rsidR="00961DCC" w:rsidRPr="00961DCC" w:rsidRDefault="00961DCC" w:rsidP="00961DCC"/>
          <w:p w:rsidR="00961DCC" w:rsidRPr="00961DCC" w:rsidRDefault="00961DCC" w:rsidP="00961DCC"/>
          <w:p w:rsidR="00961DCC" w:rsidRPr="00961DCC" w:rsidRDefault="00961DCC" w:rsidP="00961DCC"/>
          <w:p w:rsidR="00961DCC" w:rsidRDefault="00961DCC" w:rsidP="00961DCC"/>
          <w:p w:rsidR="00961DCC" w:rsidRPr="00367F1C" w:rsidRDefault="00961DCC" w:rsidP="00961DCC">
            <w:r w:rsidRPr="0093701B">
              <w:rPr>
                <w:b/>
                <w:bCs/>
                <w:color w:val="365F91"/>
                <w:sz w:val="28"/>
                <w:szCs w:val="28"/>
                <w:u w:val="single"/>
              </w:rPr>
              <w:t>Appliquée</w:t>
            </w:r>
          </w:p>
          <w:p w:rsidR="00225131" w:rsidRPr="00961DCC" w:rsidRDefault="00225131" w:rsidP="00961DCC">
            <w:pPr>
              <w:jc w:val="center"/>
            </w:pPr>
          </w:p>
        </w:tc>
      </w:tr>
      <w:tr w:rsidR="00374F0C" w:rsidTr="00961DCC">
        <w:trPr>
          <w:trHeight w:val="1936"/>
        </w:trPr>
        <w:tc>
          <w:tcPr>
            <w:tcW w:w="0" w:type="auto"/>
          </w:tcPr>
          <w:p w:rsidR="00374F0C" w:rsidRDefault="00374F0C" w:rsidP="00663A0C">
            <w:pPr>
              <w:jc w:val="center"/>
              <w:rPr>
                <w:b/>
                <w:bCs/>
                <w:color w:val="0000FF"/>
              </w:rPr>
            </w:pPr>
          </w:p>
          <w:p w:rsidR="000C7817" w:rsidRDefault="003F0460" w:rsidP="00663A0C">
            <w:pPr>
              <w:jc w:val="center"/>
              <w:rPr>
                <w:b/>
                <w:bCs/>
                <w:color w:val="0000FF"/>
              </w:rPr>
            </w:pPr>
            <w:r>
              <w:rPr>
                <w:b/>
                <w:bCs/>
                <w:color w:val="0000FF"/>
              </w:rPr>
              <w:t>7</w:t>
            </w:r>
            <w:r w:rsidR="00374F0C" w:rsidRPr="0085187B">
              <w:rPr>
                <w:b/>
                <w:bCs/>
                <w:color w:val="0000FF"/>
                <w:vertAlign w:val="superscript"/>
              </w:rPr>
              <w:t>éme</w:t>
            </w:r>
            <w:r w:rsidR="00374F0C" w:rsidRPr="0085187B">
              <w:rPr>
                <w:b/>
                <w:bCs/>
                <w:color w:val="0000FF"/>
              </w:rPr>
              <w:t xml:space="preserve">  Résolution</w:t>
            </w:r>
          </w:p>
          <w:p w:rsidR="00374F0C" w:rsidRPr="00153795" w:rsidRDefault="00374F0C" w:rsidP="00153795"/>
        </w:tc>
        <w:tc>
          <w:tcPr>
            <w:tcW w:w="0" w:type="auto"/>
          </w:tcPr>
          <w:p w:rsidR="000D537E" w:rsidRDefault="000D537E" w:rsidP="00663A0C">
            <w:pPr>
              <w:pStyle w:val="Corpsdetexte"/>
              <w:jc w:val="both"/>
              <w:rPr>
                <w:bCs/>
                <w:sz w:val="20"/>
                <w:szCs w:val="20"/>
              </w:rPr>
            </w:pPr>
          </w:p>
          <w:p w:rsidR="00E61BD4" w:rsidRPr="00961DCC" w:rsidRDefault="00374F0C" w:rsidP="00961DCC">
            <w:pPr>
              <w:jc w:val="both"/>
              <w:rPr>
                <w:sz w:val="22"/>
                <w:szCs w:val="22"/>
              </w:rPr>
            </w:pPr>
            <w:r w:rsidRPr="00D37BDE">
              <w:rPr>
                <w:sz w:val="22"/>
                <w:szCs w:val="22"/>
              </w:rPr>
              <w:t>L’A</w:t>
            </w:r>
            <w:r>
              <w:rPr>
                <w:sz w:val="22"/>
                <w:szCs w:val="22"/>
              </w:rPr>
              <w:t>s</w:t>
            </w:r>
            <w:r w:rsidR="00C3011D">
              <w:rPr>
                <w:sz w:val="22"/>
                <w:szCs w:val="22"/>
              </w:rPr>
              <w:t>semblée Générale Ordinaire des A</w:t>
            </w:r>
            <w:r>
              <w:rPr>
                <w:sz w:val="22"/>
                <w:szCs w:val="22"/>
              </w:rPr>
              <w:t>ctionnaires  de la SPA EGH CHAINE EL-AURASSI</w:t>
            </w:r>
            <w:r w:rsidR="000934D6">
              <w:rPr>
                <w:sz w:val="22"/>
                <w:szCs w:val="22"/>
              </w:rPr>
              <w:t xml:space="preserve"> mande le Conseil d’Administration à l’effet de procéder au règlement des honoraires du commissaire au</w:t>
            </w:r>
            <w:r w:rsidR="000467B1">
              <w:rPr>
                <w:sz w:val="22"/>
                <w:szCs w:val="22"/>
              </w:rPr>
              <w:t xml:space="preserve">x comptes, au </w:t>
            </w:r>
            <w:r w:rsidR="00961DCC">
              <w:rPr>
                <w:sz w:val="22"/>
                <w:szCs w:val="22"/>
              </w:rPr>
              <w:t>titre de l’exercice 2021</w:t>
            </w:r>
            <w:r w:rsidR="000934D6">
              <w:rPr>
                <w:sz w:val="22"/>
                <w:szCs w:val="22"/>
              </w:rPr>
              <w:t xml:space="preserve">, </w:t>
            </w:r>
            <w:r w:rsidR="00C3011D">
              <w:rPr>
                <w:sz w:val="22"/>
                <w:szCs w:val="22"/>
              </w:rPr>
              <w:t xml:space="preserve">déduction faite des sommes déjà versées, et ce, </w:t>
            </w:r>
            <w:r w:rsidR="000934D6">
              <w:rPr>
                <w:sz w:val="22"/>
                <w:szCs w:val="22"/>
              </w:rPr>
              <w:t>conformément à la convention signée entr</w:t>
            </w:r>
            <w:r w:rsidR="000C7817">
              <w:rPr>
                <w:sz w:val="22"/>
                <w:szCs w:val="22"/>
              </w:rPr>
              <w:t>e la société et le c</w:t>
            </w:r>
            <w:r w:rsidR="000934D6">
              <w:rPr>
                <w:sz w:val="22"/>
                <w:szCs w:val="22"/>
              </w:rPr>
              <w:t>ommissaire aux comptes.</w:t>
            </w:r>
          </w:p>
        </w:tc>
        <w:tc>
          <w:tcPr>
            <w:tcW w:w="0" w:type="auto"/>
          </w:tcPr>
          <w:p w:rsidR="00374F0C" w:rsidRPr="00367F1C" w:rsidRDefault="00374F0C" w:rsidP="00663A0C"/>
          <w:p w:rsidR="000C7817" w:rsidRDefault="00961DCC" w:rsidP="00961DCC">
            <w:pPr>
              <w:rPr>
                <w:b/>
                <w:bCs/>
                <w:color w:val="365F91"/>
                <w:sz w:val="28"/>
                <w:szCs w:val="28"/>
              </w:rPr>
            </w:pPr>
            <w:r>
              <w:rPr>
                <w:b/>
                <w:bCs/>
                <w:color w:val="365F91"/>
                <w:sz w:val="28"/>
                <w:szCs w:val="28"/>
              </w:rPr>
              <w:t xml:space="preserve">     Non</w:t>
            </w:r>
          </w:p>
          <w:p w:rsidR="00961DCC" w:rsidRDefault="00374F0C" w:rsidP="000C7817">
            <w:pPr>
              <w:rPr>
                <w:b/>
                <w:bCs/>
                <w:color w:val="365F91"/>
                <w:sz w:val="28"/>
                <w:szCs w:val="28"/>
                <w:u w:val="single"/>
              </w:rPr>
            </w:pPr>
            <w:r w:rsidRPr="003E2C15">
              <w:rPr>
                <w:b/>
                <w:bCs/>
                <w:color w:val="365F91"/>
                <w:sz w:val="28"/>
                <w:szCs w:val="28"/>
                <w:u w:val="single"/>
              </w:rPr>
              <w:t>Appliquée</w:t>
            </w:r>
            <w:r w:rsidR="00961DCC">
              <w:rPr>
                <w:b/>
                <w:bCs/>
                <w:color w:val="365F91"/>
                <w:sz w:val="28"/>
                <w:szCs w:val="28"/>
                <w:u w:val="single"/>
              </w:rPr>
              <w:t>, convention</w:t>
            </w:r>
          </w:p>
          <w:p w:rsidR="00961DCC" w:rsidRPr="00CF0C18" w:rsidRDefault="00961DCC" w:rsidP="00CF0C18">
            <w:pPr>
              <w:tabs>
                <w:tab w:val="left" w:pos="449"/>
                <w:tab w:val="center" w:pos="780"/>
              </w:tabs>
              <w:rPr>
                <w:b/>
                <w:bCs/>
                <w:color w:val="365F91"/>
                <w:sz w:val="28"/>
                <w:szCs w:val="28"/>
                <w:u w:val="single"/>
              </w:rPr>
            </w:pPr>
            <w:r w:rsidRPr="00CF0C18">
              <w:rPr>
                <w:b/>
                <w:bCs/>
                <w:color w:val="365F91"/>
                <w:sz w:val="28"/>
                <w:szCs w:val="28"/>
              </w:rPr>
              <w:tab/>
            </w:r>
            <w:r w:rsidR="00CF0C18" w:rsidRPr="00CF0C18">
              <w:rPr>
                <w:b/>
                <w:bCs/>
                <w:color w:val="365F91"/>
                <w:sz w:val="28"/>
                <w:szCs w:val="28"/>
              </w:rPr>
              <w:tab/>
            </w:r>
            <w:r w:rsidRPr="00CF0C18">
              <w:rPr>
                <w:b/>
                <w:bCs/>
                <w:color w:val="365F91"/>
                <w:sz w:val="28"/>
                <w:szCs w:val="28"/>
                <w:u w:val="single"/>
              </w:rPr>
              <w:t>non</w:t>
            </w:r>
          </w:p>
          <w:p w:rsidR="00374F0C" w:rsidRPr="00CF0C18" w:rsidRDefault="00961DCC" w:rsidP="000C7817">
            <w:pPr>
              <w:rPr>
                <w:b/>
                <w:bCs/>
                <w:color w:val="365F91"/>
                <w:sz w:val="28"/>
                <w:szCs w:val="28"/>
                <w:u w:val="single"/>
              </w:rPr>
            </w:pPr>
            <w:r w:rsidRPr="00CF0C18">
              <w:rPr>
                <w:b/>
                <w:bCs/>
                <w:color w:val="365F91"/>
                <w:sz w:val="28"/>
                <w:szCs w:val="28"/>
                <w:u w:val="single"/>
              </w:rPr>
              <w:t>formalisée</w:t>
            </w:r>
          </w:p>
          <w:p w:rsidR="00374F0C" w:rsidRPr="00CF0C18" w:rsidRDefault="00374F0C" w:rsidP="000C7817">
            <w:pPr>
              <w:jc w:val="center"/>
            </w:pPr>
          </w:p>
          <w:p w:rsidR="00374F0C" w:rsidRPr="00153795" w:rsidRDefault="00374F0C" w:rsidP="00153795"/>
        </w:tc>
      </w:tr>
      <w:tr w:rsidR="000C7817" w:rsidTr="000C7817">
        <w:trPr>
          <w:trHeight w:val="1671"/>
        </w:trPr>
        <w:tc>
          <w:tcPr>
            <w:tcW w:w="0" w:type="auto"/>
          </w:tcPr>
          <w:p w:rsidR="000C7817" w:rsidRDefault="00CF0C18" w:rsidP="00663A0C">
            <w:pPr>
              <w:jc w:val="center"/>
              <w:rPr>
                <w:b/>
                <w:bCs/>
                <w:color w:val="0000FF"/>
              </w:rPr>
            </w:pPr>
            <w:r>
              <w:rPr>
                <w:b/>
                <w:bCs/>
                <w:color w:val="0000FF"/>
              </w:rPr>
              <w:lastRenderedPageBreak/>
              <w:t>8</w:t>
            </w:r>
            <w:r w:rsidR="000C7817">
              <w:rPr>
                <w:b/>
                <w:bCs/>
                <w:color w:val="0000FF"/>
              </w:rPr>
              <w:t>éme Résolution</w:t>
            </w:r>
          </w:p>
        </w:tc>
        <w:tc>
          <w:tcPr>
            <w:tcW w:w="0" w:type="auto"/>
          </w:tcPr>
          <w:p w:rsidR="00284741" w:rsidRDefault="00284741" w:rsidP="00284741">
            <w:pPr>
              <w:pStyle w:val="Corpsdetexte"/>
              <w:jc w:val="both"/>
              <w:rPr>
                <w:bCs/>
                <w:sz w:val="20"/>
                <w:szCs w:val="20"/>
              </w:rPr>
            </w:pPr>
            <w:r>
              <w:rPr>
                <w:bCs/>
                <w:sz w:val="20"/>
                <w:szCs w:val="20"/>
              </w:rPr>
              <w:t xml:space="preserve">L’Assemblée Générale Ordinaire des Actionnaires de la SPA EGH CHAINE EL-AURASSI donne tous pouvoirs au Conseil d'Administration à l'effet d'accomplir les formalités légales et réglementaires, notamment le dépôt dans un délai de 30 jours des comptes sociaux et du procès-verbal de l'Assemblée Générale Ordinaire au centre National du Registre de Commerce, chargé des publicités réglementaires obligatoires. </w:t>
            </w:r>
          </w:p>
          <w:p w:rsidR="005960AF" w:rsidRPr="000C7817" w:rsidRDefault="005960AF" w:rsidP="00284741">
            <w:pPr>
              <w:pStyle w:val="Corpsdetexte"/>
              <w:jc w:val="both"/>
              <w:rPr>
                <w:bCs/>
                <w:sz w:val="20"/>
                <w:szCs w:val="20"/>
              </w:rPr>
            </w:pPr>
          </w:p>
        </w:tc>
        <w:tc>
          <w:tcPr>
            <w:tcW w:w="0" w:type="auto"/>
          </w:tcPr>
          <w:p w:rsidR="00595F45" w:rsidRDefault="00595F45" w:rsidP="000467B1"/>
          <w:p w:rsidR="00595F45" w:rsidRDefault="00595F45" w:rsidP="00595F45"/>
          <w:p w:rsidR="00284741" w:rsidRDefault="00284741" w:rsidP="00284741">
            <w:pPr>
              <w:tabs>
                <w:tab w:val="left" w:pos="928"/>
              </w:tabs>
              <w:rPr>
                <w:b/>
                <w:bCs/>
                <w:color w:val="365F91"/>
                <w:sz w:val="28"/>
                <w:szCs w:val="28"/>
                <w:u w:val="single"/>
              </w:rPr>
            </w:pPr>
            <w:r w:rsidRPr="003E2C15">
              <w:rPr>
                <w:b/>
                <w:bCs/>
                <w:color w:val="365F91"/>
                <w:sz w:val="28"/>
                <w:szCs w:val="28"/>
                <w:u w:val="single"/>
              </w:rPr>
              <w:t>Appliquée</w:t>
            </w:r>
          </w:p>
          <w:p w:rsidR="000C7817" w:rsidRPr="00595F45" w:rsidRDefault="000C7817" w:rsidP="008A0686"/>
        </w:tc>
      </w:tr>
    </w:tbl>
    <w:p w:rsidR="001552F9" w:rsidRDefault="001552F9" w:rsidP="002E41DF">
      <w:pPr>
        <w:jc w:val="both"/>
        <w:rPr>
          <w:b/>
          <w:bCs/>
          <w:color w:val="0000FF"/>
          <w:sz w:val="32"/>
          <w:szCs w:val="32"/>
          <w:u w:val="single"/>
        </w:rPr>
      </w:pPr>
    </w:p>
    <w:p w:rsidR="002E41DF" w:rsidRPr="00302222" w:rsidRDefault="002E41DF" w:rsidP="002E41DF">
      <w:pPr>
        <w:jc w:val="both"/>
        <w:rPr>
          <w:b/>
          <w:bCs/>
          <w:color w:val="0000FF"/>
          <w:sz w:val="32"/>
          <w:szCs w:val="32"/>
          <w:u w:val="single"/>
        </w:rPr>
      </w:pPr>
      <w:r w:rsidRPr="00FC6C6F">
        <w:rPr>
          <w:b/>
          <w:bCs/>
          <w:color w:val="0000FF"/>
          <w:sz w:val="32"/>
          <w:szCs w:val="32"/>
          <w:u w:val="single"/>
        </w:rPr>
        <w:t xml:space="preserve">Bilan d’Application des Résolutions de l’Assemblée Générale </w:t>
      </w:r>
      <w:proofErr w:type="gramStart"/>
      <w:r w:rsidRPr="00FC6C6F">
        <w:rPr>
          <w:b/>
          <w:bCs/>
          <w:color w:val="0000FF"/>
          <w:sz w:val="32"/>
          <w:szCs w:val="32"/>
          <w:u w:val="single"/>
        </w:rPr>
        <w:t>Ordinaire</w:t>
      </w:r>
      <w:r>
        <w:rPr>
          <w:b/>
          <w:bCs/>
          <w:color w:val="0000FF"/>
          <w:sz w:val="32"/>
          <w:szCs w:val="32"/>
          <w:u w:val="single"/>
        </w:rPr>
        <w:t xml:space="preserve"> .</w:t>
      </w:r>
      <w:proofErr w:type="gramEnd"/>
    </w:p>
    <w:p w:rsidR="004568EC" w:rsidRDefault="004568EC" w:rsidP="002E41DF">
      <w:pPr>
        <w:jc w:val="both"/>
        <w:rPr>
          <w:sz w:val="28"/>
        </w:rPr>
      </w:pPr>
    </w:p>
    <w:p w:rsidR="002E41DF" w:rsidRDefault="002E41DF" w:rsidP="00284741">
      <w:pPr>
        <w:jc w:val="both"/>
        <w:rPr>
          <w:sz w:val="28"/>
        </w:rPr>
      </w:pPr>
      <w:r>
        <w:rPr>
          <w:sz w:val="28"/>
        </w:rPr>
        <w:t>En exécution de la première résolution de l’Assemblée Générale Ordinaire</w:t>
      </w:r>
      <w:r w:rsidR="00935AD3">
        <w:rPr>
          <w:sz w:val="28"/>
        </w:rPr>
        <w:t xml:space="preserve"> des Actionnaires  , le Gestionnaire Salarié P</w:t>
      </w:r>
      <w:r>
        <w:rPr>
          <w:sz w:val="28"/>
        </w:rPr>
        <w:t>rincipal a rendu destinataire</w:t>
      </w:r>
      <w:r w:rsidR="006424D4">
        <w:rPr>
          <w:sz w:val="28"/>
        </w:rPr>
        <w:t xml:space="preserve"> l'équipe dirigeante</w:t>
      </w:r>
      <w:r w:rsidR="00E21FA0">
        <w:rPr>
          <w:sz w:val="28"/>
        </w:rPr>
        <w:t xml:space="preserve"> </w:t>
      </w:r>
      <w:r w:rsidR="00284741">
        <w:rPr>
          <w:sz w:val="28"/>
        </w:rPr>
        <w:t xml:space="preserve">et les Directeurs d’hôtels , selon courrier daté du 19 Juin 2022 </w:t>
      </w:r>
      <w:r w:rsidR="00D40BC4">
        <w:rPr>
          <w:sz w:val="28"/>
        </w:rPr>
        <w:t>,</w:t>
      </w:r>
      <w:r>
        <w:rPr>
          <w:sz w:val="28"/>
        </w:rPr>
        <w:t>d’un exemplaire du rapport du commissaire aux comptes , portant sur sa mission légale de vérification et de certificatio</w:t>
      </w:r>
      <w:r w:rsidR="00284741">
        <w:rPr>
          <w:sz w:val="28"/>
        </w:rPr>
        <w:t>n des comptes de l’exercice 2021</w:t>
      </w:r>
      <w:r>
        <w:rPr>
          <w:sz w:val="28"/>
        </w:rPr>
        <w:t>,  accompagné d’un exemp</w:t>
      </w:r>
      <w:r w:rsidR="000934D6">
        <w:rPr>
          <w:sz w:val="28"/>
        </w:rPr>
        <w:t>laire du rapport de gestion du Conseil d’A</w:t>
      </w:r>
      <w:r>
        <w:rPr>
          <w:sz w:val="28"/>
        </w:rPr>
        <w:t>dministration</w:t>
      </w:r>
      <w:r w:rsidR="00284741">
        <w:rPr>
          <w:sz w:val="28"/>
        </w:rPr>
        <w:t xml:space="preserve"> et des états financiers arrêtés au 31 Décembre 2021</w:t>
      </w:r>
      <w:r>
        <w:rPr>
          <w:sz w:val="28"/>
        </w:rPr>
        <w:t xml:space="preserve"> , et ce, à l’effet de prendr</w:t>
      </w:r>
      <w:r w:rsidR="00D40BC4">
        <w:rPr>
          <w:sz w:val="28"/>
        </w:rPr>
        <w:t>e en charge  sur l’exercic</w:t>
      </w:r>
      <w:r w:rsidR="00284741">
        <w:rPr>
          <w:sz w:val="28"/>
        </w:rPr>
        <w:t>e 2022</w:t>
      </w:r>
      <w:r>
        <w:rPr>
          <w:sz w:val="28"/>
        </w:rPr>
        <w:t>, chacun en ce qui le concerne , les observations et les recommandations contenues dans le rapport du commissaire aux comptes.</w:t>
      </w:r>
    </w:p>
    <w:p w:rsidR="002E41DF" w:rsidRDefault="002E41DF" w:rsidP="002E41DF">
      <w:pPr>
        <w:jc w:val="both"/>
        <w:rPr>
          <w:sz w:val="28"/>
        </w:rPr>
      </w:pPr>
    </w:p>
    <w:p w:rsidR="00D40BC4" w:rsidRDefault="002E41DF" w:rsidP="00F76B86">
      <w:pPr>
        <w:jc w:val="both"/>
        <w:rPr>
          <w:sz w:val="28"/>
        </w:rPr>
      </w:pPr>
      <w:r>
        <w:rPr>
          <w:sz w:val="28"/>
        </w:rPr>
        <w:t xml:space="preserve">L’ensemble des résolutions objets de l’Assemblée Générale Ordinaire </w:t>
      </w:r>
      <w:r w:rsidR="000C7817">
        <w:rPr>
          <w:sz w:val="28"/>
        </w:rPr>
        <w:t xml:space="preserve">des Actionnaires </w:t>
      </w:r>
      <w:r>
        <w:rPr>
          <w:sz w:val="28"/>
        </w:rPr>
        <w:t xml:space="preserve"> tenue le </w:t>
      </w:r>
      <w:r w:rsidR="00F76B86">
        <w:rPr>
          <w:sz w:val="28"/>
        </w:rPr>
        <w:t>14 Juin  2022</w:t>
      </w:r>
      <w:r>
        <w:rPr>
          <w:sz w:val="28"/>
        </w:rPr>
        <w:t xml:space="preserve"> ont été  mises en œuvre </w:t>
      </w:r>
      <w:r w:rsidR="006424D4">
        <w:rPr>
          <w:sz w:val="28"/>
        </w:rPr>
        <w:t xml:space="preserve">par le Conseil d'Administration,  </w:t>
      </w:r>
      <w:r>
        <w:rPr>
          <w:sz w:val="28"/>
        </w:rPr>
        <w:t>a</w:t>
      </w:r>
      <w:r w:rsidR="00D40BC4">
        <w:rPr>
          <w:sz w:val="28"/>
        </w:rPr>
        <w:t xml:space="preserve">u titre du premier semestre </w:t>
      </w:r>
      <w:r w:rsidR="00E21FA0">
        <w:rPr>
          <w:sz w:val="28"/>
        </w:rPr>
        <w:t xml:space="preserve">2022, </w:t>
      </w:r>
      <w:r w:rsidR="00935AD3">
        <w:rPr>
          <w:sz w:val="28"/>
        </w:rPr>
        <w:t xml:space="preserve">à l’exception </w:t>
      </w:r>
      <w:r w:rsidR="00F76B86">
        <w:rPr>
          <w:sz w:val="28"/>
        </w:rPr>
        <w:t xml:space="preserve">du paiement des honoraires du commissaire aux comptes, en raison </w:t>
      </w:r>
      <w:r w:rsidR="00935AD3">
        <w:rPr>
          <w:sz w:val="28"/>
        </w:rPr>
        <w:t xml:space="preserve">de </w:t>
      </w:r>
      <w:r w:rsidR="00E21FA0">
        <w:rPr>
          <w:sz w:val="28"/>
        </w:rPr>
        <w:t xml:space="preserve">la </w:t>
      </w:r>
      <w:r w:rsidR="00C143D3">
        <w:rPr>
          <w:sz w:val="28"/>
        </w:rPr>
        <w:t>non formalisation de la relation contractuelle, au moyen d’une</w:t>
      </w:r>
      <w:r w:rsidR="00935AD3">
        <w:rPr>
          <w:sz w:val="28"/>
        </w:rPr>
        <w:t xml:space="preserve"> convention dûment signé</w:t>
      </w:r>
      <w:r w:rsidR="00153795">
        <w:rPr>
          <w:sz w:val="28"/>
        </w:rPr>
        <w:t>e</w:t>
      </w:r>
      <w:r w:rsidR="00935AD3">
        <w:rPr>
          <w:sz w:val="28"/>
        </w:rPr>
        <w:t xml:space="preserve"> entre les deux parties.</w:t>
      </w:r>
    </w:p>
    <w:p w:rsidR="007667FF" w:rsidRDefault="007667FF" w:rsidP="002E41DF">
      <w:pPr>
        <w:jc w:val="both"/>
        <w:rPr>
          <w:b/>
          <w:bCs/>
          <w:color w:val="0000FF"/>
          <w:sz w:val="28"/>
        </w:rPr>
      </w:pPr>
    </w:p>
    <w:p w:rsidR="002E41DF" w:rsidRDefault="007667FF" w:rsidP="002E41DF">
      <w:pPr>
        <w:jc w:val="both"/>
        <w:rPr>
          <w:b/>
          <w:bCs/>
          <w:color w:val="0000FF"/>
          <w:sz w:val="28"/>
          <w:u w:val="single"/>
        </w:rPr>
      </w:pPr>
      <w:r>
        <w:rPr>
          <w:b/>
          <w:bCs/>
          <w:color w:val="0000FF"/>
          <w:sz w:val="28"/>
        </w:rPr>
        <w:t>1</w:t>
      </w:r>
      <w:r w:rsidR="002E41DF" w:rsidRPr="0025709D">
        <w:rPr>
          <w:b/>
          <w:bCs/>
          <w:color w:val="0000FF"/>
          <w:sz w:val="28"/>
        </w:rPr>
        <w:t>-</w:t>
      </w:r>
      <w:r w:rsidR="002E41DF">
        <w:rPr>
          <w:b/>
          <w:bCs/>
          <w:color w:val="0000FF"/>
          <w:sz w:val="28"/>
        </w:rPr>
        <w:t>1</w:t>
      </w:r>
      <w:r w:rsidR="002E41DF" w:rsidRPr="0025709D">
        <w:rPr>
          <w:b/>
          <w:bCs/>
          <w:color w:val="0000FF"/>
          <w:sz w:val="28"/>
          <w:u w:val="single"/>
        </w:rPr>
        <w:t>Le</w:t>
      </w:r>
      <w:r w:rsidR="003A3D74">
        <w:rPr>
          <w:b/>
          <w:bCs/>
          <w:color w:val="0000FF"/>
          <w:sz w:val="28"/>
          <w:u w:val="single"/>
        </w:rPr>
        <w:t>s procédures de gestion :</w:t>
      </w:r>
    </w:p>
    <w:p w:rsidR="00F9084E" w:rsidRPr="00952534" w:rsidRDefault="00F9084E" w:rsidP="002E41DF">
      <w:pPr>
        <w:jc w:val="both"/>
        <w:rPr>
          <w:b/>
          <w:bCs/>
          <w:color w:val="0000FF"/>
          <w:sz w:val="28"/>
        </w:rPr>
      </w:pPr>
    </w:p>
    <w:p w:rsidR="00F250AE" w:rsidRDefault="00952534" w:rsidP="00A270B3">
      <w:pPr>
        <w:jc w:val="both"/>
        <w:rPr>
          <w:sz w:val="28"/>
          <w:szCs w:val="28"/>
        </w:rPr>
      </w:pPr>
      <w:r w:rsidRPr="000934D6">
        <w:rPr>
          <w:sz w:val="28"/>
          <w:szCs w:val="28"/>
        </w:rPr>
        <w:t>Les procédures de gestion en place</w:t>
      </w:r>
      <w:r w:rsidR="00A270B3">
        <w:rPr>
          <w:sz w:val="28"/>
          <w:szCs w:val="28"/>
        </w:rPr>
        <w:t xml:space="preserve">, relatives aux </w:t>
      </w:r>
      <w:r w:rsidR="00F250AE">
        <w:rPr>
          <w:sz w:val="28"/>
          <w:szCs w:val="28"/>
        </w:rPr>
        <w:t xml:space="preserve">structures </w:t>
      </w:r>
      <w:r w:rsidR="00A270B3">
        <w:rPr>
          <w:sz w:val="28"/>
          <w:szCs w:val="28"/>
        </w:rPr>
        <w:t>hébergement,</w:t>
      </w:r>
      <w:r w:rsidR="00F250AE">
        <w:rPr>
          <w:sz w:val="28"/>
          <w:szCs w:val="28"/>
        </w:rPr>
        <w:t xml:space="preserve"> a</w:t>
      </w:r>
      <w:r w:rsidR="00C143D3">
        <w:rPr>
          <w:sz w:val="28"/>
          <w:szCs w:val="28"/>
        </w:rPr>
        <w:t>pprovisionnements, le  commercial</w:t>
      </w:r>
      <w:r w:rsidR="00F250AE">
        <w:rPr>
          <w:sz w:val="28"/>
          <w:szCs w:val="28"/>
        </w:rPr>
        <w:t xml:space="preserve"> et </w:t>
      </w:r>
      <w:r w:rsidR="00C143D3">
        <w:rPr>
          <w:sz w:val="28"/>
          <w:szCs w:val="28"/>
        </w:rPr>
        <w:t xml:space="preserve">le </w:t>
      </w:r>
      <w:r w:rsidR="00F250AE">
        <w:rPr>
          <w:sz w:val="28"/>
          <w:szCs w:val="28"/>
        </w:rPr>
        <w:t xml:space="preserve">contrôle de l’exploitation avaient été </w:t>
      </w:r>
      <w:r w:rsidR="00A270B3">
        <w:rPr>
          <w:sz w:val="28"/>
          <w:szCs w:val="28"/>
        </w:rPr>
        <w:t>évaluées,</w:t>
      </w:r>
      <w:r w:rsidR="00F250AE">
        <w:rPr>
          <w:sz w:val="28"/>
          <w:szCs w:val="28"/>
        </w:rPr>
        <w:t xml:space="preserve"> actualisées et validées par les responsables concernés avec l’implication de la cellule audit </w:t>
      </w:r>
      <w:r w:rsidR="00A270B3">
        <w:rPr>
          <w:sz w:val="28"/>
          <w:szCs w:val="28"/>
        </w:rPr>
        <w:t xml:space="preserve">interne. </w:t>
      </w:r>
    </w:p>
    <w:p w:rsidR="003D503A" w:rsidRDefault="003D503A" w:rsidP="00A270B3">
      <w:pPr>
        <w:jc w:val="both"/>
        <w:rPr>
          <w:sz w:val="28"/>
          <w:szCs w:val="28"/>
        </w:rPr>
      </w:pPr>
    </w:p>
    <w:p w:rsidR="00F250AE" w:rsidRDefault="003D503A" w:rsidP="003D503A">
      <w:pPr>
        <w:jc w:val="both"/>
        <w:rPr>
          <w:sz w:val="28"/>
          <w:szCs w:val="28"/>
        </w:rPr>
      </w:pPr>
      <w:r>
        <w:rPr>
          <w:sz w:val="28"/>
          <w:szCs w:val="28"/>
        </w:rPr>
        <w:t xml:space="preserve">Ces procédures </w:t>
      </w:r>
      <w:r w:rsidR="00C143D3">
        <w:rPr>
          <w:sz w:val="28"/>
          <w:szCs w:val="28"/>
        </w:rPr>
        <w:t xml:space="preserve">de gestion </w:t>
      </w:r>
      <w:r>
        <w:rPr>
          <w:sz w:val="28"/>
          <w:szCs w:val="28"/>
        </w:rPr>
        <w:t>sont contenues dans un</w:t>
      </w:r>
      <w:r w:rsidR="00C143D3">
        <w:rPr>
          <w:sz w:val="28"/>
          <w:szCs w:val="28"/>
        </w:rPr>
        <w:t xml:space="preserve"> manuel</w:t>
      </w:r>
      <w:r>
        <w:rPr>
          <w:sz w:val="28"/>
          <w:szCs w:val="28"/>
        </w:rPr>
        <w:t xml:space="preserve"> dûment complété par les procédures des autres structures. Il s’agit de la restauration, des finances et comptabilité et de</w:t>
      </w:r>
      <w:r w:rsidR="00E21FA0">
        <w:rPr>
          <w:sz w:val="28"/>
          <w:szCs w:val="28"/>
        </w:rPr>
        <w:t>s</w:t>
      </w:r>
      <w:r>
        <w:rPr>
          <w:sz w:val="28"/>
          <w:szCs w:val="28"/>
        </w:rPr>
        <w:t xml:space="preserve"> équipements et de la maintenance.</w:t>
      </w:r>
    </w:p>
    <w:p w:rsidR="003D503A" w:rsidRDefault="003D503A" w:rsidP="003D503A">
      <w:pPr>
        <w:jc w:val="both"/>
        <w:rPr>
          <w:sz w:val="28"/>
          <w:szCs w:val="28"/>
        </w:rPr>
      </w:pPr>
    </w:p>
    <w:p w:rsidR="00EB1F95" w:rsidRPr="000934D6" w:rsidRDefault="00A270B3" w:rsidP="00A270B3">
      <w:pPr>
        <w:jc w:val="both"/>
        <w:rPr>
          <w:sz w:val="28"/>
          <w:szCs w:val="28"/>
        </w:rPr>
      </w:pPr>
      <w:r>
        <w:rPr>
          <w:sz w:val="28"/>
          <w:szCs w:val="28"/>
        </w:rPr>
        <w:t xml:space="preserve">Quant à </w:t>
      </w:r>
      <w:r w:rsidR="00F250AE">
        <w:rPr>
          <w:sz w:val="28"/>
          <w:szCs w:val="28"/>
        </w:rPr>
        <w:t xml:space="preserve"> la normalisation du plan des comptes à l’échelle de la chaine, dans l’esprit du référentiel </w:t>
      </w:r>
      <w:r w:rsidR="00153795">
        <w:rPr>
          <w:sz w:val="28"/>
          <w:szCs w:val="28"/>
        </w:rPr>
        <w:t xml:space="preserve">au </w:t>
      </w:r>
      <w:r w:rsidR="00F250AE">
        <w:rPr>
          <w:sz w:val="28"/>
          <w:szCs w:val="28"/>
        </w:rPr>
        <w:t xml:space="preserve">Système Comptable Financier, </w:t>
      </w:r>
      <w:r w:rsidR="00935AD3">
        <w:rPr>
          <w:sz w:val="28"/>
          <w:szCs w:val="28"/>
        </w:rPr>
        <w:t xml:space="preserve">et </w:t>
      </w:r>
      <w:r w:rsidR="00DC3722">
        <w:rPr>
          <w:sz w:val="28"/>
          <w:szCs w:val="28"/>
        </w:rPr>
        <w:t>ce, indépendamment</w:t>
      </w:r>
      <w:r>
        <w:rPr>
          <w:sz w:val="28"/>
          <w:szCs w:val="28"/>
        </w:rPr>
        <w:t xml:space="preserve"> du groupe de travail  constitué à cet effet, </w:t>
      </w:r>
      <w:r w:rsidR="00F250AE">
        <w:rPr>
          <w:sz w:val="28"/>
          <w:szCs w:val="28"/>
        </w:rPr>
        <w:t xml:space="preserve"> représenté par les responsables financiers des filiales d</w:t>
      </w:r>
      <w:r w:rsidR="00935AD3">
        <w:rPr>
          <w:sz w:val="28"/>
          <w:szCs w:val="28"/>
        </w:rPr>
        <w:t>u groupe HTT,</w:t>
      </w:r>
      <w:r>
        <w:rPr>
          <w:sz w:val="28"/>
          <w:szCs w:val="28"/>
        </w:rPr>
        <w:t xml:space="preserve"> la filiale entend entreprendre</w:t>
      </w:r>
      <w:r w:rsidR="00935AD3">
        <w:rPr>
          <w:sz w:val="28"/>
          <w:szCs w:val="28"/>
        </w:rPr>
        <w:t xml:space="preserve"> et finaliser </w:t>
      </w:r>
      <w:r>
        <w:rPr>
          <w:sz w:val="28"/>
          <w:szCs w:val="28"/>
        </w:rPr>
        <w:t xml:space="preserve"> cette normalisation des comptes</w:t>
      </w:r>
      <w:r w:rsidR="00E21FA0">
        <w:rPr>
          <w:sz w:val="28"/>
          <w:szCs w:val="28"/>
        </w:rPr>
        <w:t xml:space="preserve">, </w:t>
      </w:r>
      <w:r>
        <w:rPr>
          <w:sz w:val="28"/>
          <w:szCs w:val="28"/>
        </w:rPr>
        <w:t xml:space="preserve"> </w:t>
      </w:r>
      <w:r w:rsidR="00004771">
        <w:rPr>
          <w:sz w:val="28"/>
          <w:szCs w:val="28"/>
        </w:rPr>
        <w:t>dès</w:t>
      </w:r>
      <w:r w:rsidR="00C143D3">
        <w:rPr>
          <w:sz w:val="28"/>
          <w:szCs w:val="28"/>
        </w:rPr>
        <w:t xml:space="preserve"> que possible et en tout état de cause, </w:t>
      </w:r>
      <w:r>
        <w:rPr>
          <w:sz w:val="28"/>
          <w:szCs w:val="28"/>
        </w:rPr>
        <w:t>avant la clôture de l’exercic</w:t>
      </w:r>
      <w:r w:rsidR="003D503A">
        <w:rPr>
          <w:sz w:val="28"/>
          <w:szCs w:val="28"/>
        </w:rPr>
        <w:t>e 2022</w:t>
      </w:r>
      <w:r>
        <w:rPr>
          <w:sz w:val="28"/>
          <w:szCs w:val="28"/>
        </w:rPr>
        <w:t>.</w:t>
      </w:r>
    </w:p>
    <w:p w:rsidR="000A4AB7" w:rsidRDefault="000A4AB7" w:rsidP="00A270B3">
      <w:pPr>
        <w:pStyle w:val="Retraitcorpsdetexte"/>
        <w:ind w:left="0" w:right="283"/>
        <w:rPr>
          <w:b/>
          <w:bCs/>
        </w:rPr>
      </w:pPr>
    </w:p>
    <w:p w:rsidR="002E41DF" w:rsidRPr="00BB07FA" w:rsidRDefault="007667FF" w:rsidP="002E41DF">
      <w:pPr>
        <w:pStyle w:val="Retraitcorpsdetexte"/>
        <w:ind w:right="283"/>
        <w:rPr>
          <w:b/>
          <w:color w:val="0000FF"/>
          <w:u w:val="single"/>
        </w:rPr>
      </w:pPr>
      <w:r w:rsidRPr="00A270B3">
        <w:rPr>
          <w:b/>
          <w:color w:val="0000FF"/>
        </w:rPr>
        <w:t>1</w:t>
      </w:r>
      <w:r w:rsidR="00185E6F" w:rsidRPr="00A270B3">
        <w:rPr>
          <w:b/>
          <w:color w:val="0000FF"/>
        </w:rPr>
        <w:t>-2</w:t>
      </w:r>
      <w:r w:rsidR="00185E6F">
        <w:rPr>
          <w:b/>
          <w:color w:val="0000FF"/>
          <w:u w:val="single"/>
        </w:rPr>
        <w:t>L’Audit interne</w:t>
      </w:r>
    </w:p>
    <w:p w:rsidR="002E41DF" w:rsidRDefault="002E41DF" w:rsidP="002E41DF">
      <w:pPr>
        <w:pStyle w:val="Retraitcorpsdetexte"/>
        <w:ind w:right="283"/>
        <w:rPr>
          <w:b/>
          <w:color w:val="0000FF"/>
          <w:u w:val="single"/>
        </w:rPr>
      </w:pPr>
    </w:p>
    <w:p w:rsidR="00185E6F" w:rsidRDefault="00F250AE" w:rsidP="00A270B3">
      <w:pPr>
        <w:ind w:left="217" w:right="283"/>
        <w:jc w:val="both"/>
        <w:rPr>
          <w:sz w:val="28"/>
          <w:szCs w:val="28"/>
        </w:rPr>
      </w:pPr>
      <w:r>
        <w:rPr>
          <w:sz w:val="28"/>
          <w:szCs w:val="28"/>
        </w:rPr>
        <w:t>Cette cellule mise</w:t>
      </w:r>
      <w:r w:rsidR="00185E6F" w:rsidRPr="00D8040A">
        <w:rPr>
          <w:sz w:val="28"/>
          <w:szCs w:val="28"/>
        </w:rPr>
        <w:t xml:space="preserve"> en place à l’éc</w:t>
      </w:r>
      <w:r w:rsidR="00192DA3" w:rsidRPr="00D8040A">
        <w:rPr>
          <w:sz w:val="28"/>
          <w:szCs w:val="28"/>
        </w:rPr>
        <w:t xml:space="preserve">helle de l’entreprise </w:t>
      </w:r>
      <w:r w:rsidR="00C143D3">
        <w:rPr>
          <w:sz w:val="28"/>
          <w:szCs w:val="28"/>
        </w:rPr>
        <w:t xml:space="preserve">durant </w:t>
      </w:r>
      <w:r w:rsidR="00192DA3" w:rsidRPr="00D8040A">
        <w:rPr>
          <w:sz w:val="28"/>
          <w:szCs w:val="28"/>
        </w:rPr>
        <w:t>l’an</w:t>
      </w:r>
      <w:r w:rsidR="00C143D3">
        <w:rPr>
          <w:sz w:val="28"/>
          <w:szCs w:val="28"/>
        </w:rPr>
        <w:t>née</w:t>
      </w:r>
      <w:r w:rsidR="00185E6F" w:rsidRPr="00D8040A">
        <w:rPr>
          <w:sz w:val="28"/>
          <w:szCs w:val="28"/>
        </w:rPr>
        <w:t xml:space="preserve"> 2000, </w:t>
      </w:r>
      <w:r w:rsidR="00B11BC6" w:rsidRPr="00D8040A">
        <w:rPr>
          <w:sz w:val="28"/>
          <w:szCs w:val="28"/>
        </w:rPr>
        <w:t>en application des dispositions</w:t>
      </w:r>
      <w:r w:rsidR="00935AD3">
        <w:rPr>
          <w:sz w:val="28"/>
          <w:szCs w:val="28"/>
        </w:rPr>
        <w:t xml:space="preserve"> portant </w:t>
      </w:r>
      <w:r w:rsidR="003D503A">
        <w:rPr>
          <w:sz w:val="28"/>
          <w:szCs w:val="28"/>
        </w:rPr>
        <w:t xml:space="preserve">sur la </w:t>
      </w:r>
      <w:r w:rsidR="00935AD3">
        <w:rPr>
          <w:sz w:val="28"/>
          <w:szCs w:val="28"/>
        </w:rPr>
        <w:t>loi d'orientation des Entreprises Publiques E</w:t>
      </w:r>
      <w:r w:rsidR="00B11BC6" w:rsidRPr="00D8040A">
        <w:rPr>
          <w:sz w:val="28"/>
          <w:szCs w:val="28"/>
        </w:rPr>
        <w:t xml:space="preserve">conomiques, </w:t>
      </w:r>
      <w:r w:rsidR="00FF71BA" w:rsidRPr="00D8040A">
        <w:rPr>
          <w:sz w:val="28"/>
          <w:szCs w:val="28"/>
        </w:rPr>
        <w:t xml:space="preserve">coïncidant avec </w:t>
      </w:r>
      <w:r w:rsidR="00185E6F" w:rsidRPr="00D8040A">
        <w:rPr>
          <w:sz w:val="28"/>
          <w:szCs w:val="28"/>
        </w:rPr>
        <w:t>l’ouverture du capital de la société et son introduction à la bourse des valeurs d’Alger.</w:t>
      </w:r>
    </w:p>
    <w:p w:rsidR="00935AD3" w:rsidRDefault="00935AD3" w:rsidP="00A270B3">
      <w:pPr>
        <w:ind w:left="217" w:right="283"/>
        <w:jc w:val="both"/>
        <w:rPr>
          <w:sz w:val="28"/>
          <w:szCs w:val="28"/>
        </w:rPr>
      </w:pPr>
    </w:p>
    <w:p w:rsidR="00935AD3" w:rsidRDefault="00935AD3" w:rsidP="002229BF">
      <w:pPr>
        <w:ind w:left="217" w:right="283"/>
        <w:jc w:val="both"/>
        <w:rPr>
          <w:sz w:val="28"/>
          <w:szCs w:val="28"/>
        </w:rPr>
      </w:pPr>
      <w:r>
        <w:rPr>
          <w:sz w:val="28"/>
          <w:szCs w:val="28"/>
        </w:rPr>
        <w:t xml:space="preserve">Cette cellule a connu depuis sa mise en place un </w:t>
      </w:r>
      <w:proofErr w:type="spellStart"/>
      <w:r>
        <w:rPr>
          <w:sz w:val="28"/>
          <w:szCs w:val="28"/>
        </w:rPr>
        <w:t>turn</w:t>
      </w:r>
      <w:proofErr w:type="spellEnd"/>
      <w:r>
        <w:rPr>
          <w:sz w:val="28"/>
          <w:szCs w:val="28"/>
        </w:rPr>
        <w:t xml:space="preserve"> over</w:t>
      </w:r>
      <w:r w:rsidR="00CB47C6">
        <w:rPr>
          <w:sz w:val="28"/>
          <w:szCs w:val="28"/>
        </w:rPr>
        <w:t xml:space="preserve"> indescriptible,</w:t>
      </w:r>
      <w:r w:rsidR="00DF648B">
        <w:rPr>
          <w:sz w:val="28"/>
          <w:szCs w:val="28"/>
        </w:rPr>
        <w:t xml:space="preserve"> en termes de mouvement</w:t>
      </w:r>
      <w:r w:rsidR="00153795">
        <w:rPr>
          <w:sz w:val="28"/>
          <w:szCs w:val="28"/>
        </w:rPr>
        <w:t xml:space="preserve">s </w:t>
      </w:r>
      <w:r w:rsidR="00975790">
        <w:rPr>
          <w:sz w:val="28"/>
          <w:szCs w:val="28"/>
        </w:rPr>
        <w:t xml:space="preserve">du </w:t>
      </w:r>
      <w:r w:rsidR="00153795">
        <w:rPr>
          <w:sz w:val="28"/>
          <w:szCs w:val="28"/>
        </w:rPr>
        <w:t xml:space="preserve">personnel d’audit, </w:t>
      </w:r>
      <w:r>
        <w:rPr>
          <w:sz w:val="28"/>
          <w:szCs w:val="28"/>
        </w:rPr>
        <w:t>lié à la raret</w:t>
      </w:r>
      <w:r w:rsidR="00DF648B">
        <w:rPr>
          <w:sz w:val="28"/>
          <w:szCs w:val="28"/>
        </w:rPr>
        <w:t xml:space="preserve">é des auditeurs qualifiés et </w:t>
      </w:r>
      <w:r w:rsidR="00153795">
        <w:rPr>
          <w:sz w:val="28"/>
          <w:szCs w:val="28"/>
        </w:rPr>
        <w:t>du niveau de rémunération exigé pour ce poste</w:t>
      </w:r>
      <w:r w:rsidR="00975790">
        <w:rPr>
          <w:sz w:val="28"/>
          <w:szCs w:val="28"/>
        </w:rPr>
        <w:t xml:space="preserve"> de travail, malgré quelques </w:t>
      </w:r>
      <w:r w:rsidR="002229BF">
        <w:rPr>
          <w:sz w:val="28"/>
          <w:szCs w:val="28"/>
        </w:rPr>
        <w:t xml:space="preserve">alternatives </w:t>
      </w:r>
      <w:r w:rsidR="00975790">
        <w:rPr>
          <w:sz w:val="28"/>
          <w:szCs w:val="28"/>
        </w:rPr>
        <w:t>trouvées par l’entreprise, au moyen de contrats de performance.</w:t>
      </w:r>
    </w:p>
    <w:p w:rsidR="00A270B3" w:rsidRPr="00D8040A" w:rsidRDefault="00A270B3" w:rsidP="00A270B3">
      <w:pPr>
        <w:ind w:left="217" w:right="283"/>
        <w:jc w:val="both"/>
        <w:rPr>
          <w:sz w:val="28"/>
          <w:szCs w:val="28"/>
        </w:rPr>
      </w:pPr>
    </w:p>
    <w:p w:rsidR="003D503A" w:rsidRDefault="00F250AE" w:rsidP="003D503A">
      <w:pPr>
        <w:ind w:left="217" w:right="283"/>
        <w:jc w:val="both"/>
        <w:rPr>
          <w:sz w:val="28"/>
          <w:szCs w:val="28"/>
        </w:rPr>
      </w:pPr>
      <w:r>
        <w:rPr>
          <w:sz w:val="28"/>
          <w:szCs w:val="28"/>
        </w:rPr>
        <w:t xml:space="preserve">L’effectif actuel de cette cellule </w:t>
      </w:r>
      <w:r w:rsidR="00A270B3">
        <w:rPr>
          <w:sz w:val="28"/>
          <w:szCs w:val="28"/>
        </w:rPr>
        <w:t xml:space="preserve">se  limite à un auditeur </w:t>
      </w:r>
      <w:r w:rsidR="000527D9">
        <w:rPr>
          <w:sz w:val="28"/>
          <w:szCs w:val="28"/>
        </w:rPr>
        <w:t>principal,</w:t>
      </w:r>
      <w:r w:rsidR="00E21FA0">
        <w:rPr>
          <w:sz w:val="28"/>
          <w:szCs w:val="28"/>
        </w:rPr>
        <w:t xml:space="preserve"> </w:t>
      </w:r>
      <w:r w:rsidR="003D503A">
        <w:rPr>
          <w:sz w:val="28"/>
          <w:szCs w:val="28"/>
        </w:rPr>
        <w:t>un renforcement de cette structure par</w:t>
      </w:r>
      <w:r w:rsidR="00E21FA0">
        <w:rPr>
          <w:sz w:val="28"/>
          <w:szCs w:val="28"/>
        </w:rPr>
        <w:t xml:space="preserve"> </w:t>
      </w:r>
      <w:r w:rsidR="00FE0B3C">
        <w:rPr>
          <w:sz w:val="28"/>
          <w:szCs w:val="28"/>
        </w:rPr>
        <w:t xml:space="preserve">au moins </w:t>
      </w:r>
      <w:r w:rsidR="00A270B3">
        <w:rPr>
          <w:sz w:val="28"/>
          <w:szCs w:val="28"/>
        </w:rPr>
        <w:t xml:space="preserve">deux </w:t>
      </w:r>
      <w:r w:rsidR="003D503A">
        <w:rPr>
          <w:sz w:val="28"/>
          <w:szCs w:val="28"/>
        </w:rPr>
        <w:t xml:space="preserve">éléments est prévu dans le cadre du budget révisé pour l’année 2022 et interviendra </w:t>
      </w:r>
      <w:r w:rsidR="00C143D3">
        <w:rPr>
          <w:sz w:val="28"/>
          <w:szCs w:val="28"/>
        </w:rPr>
        <w:t xml:space="preserve">vraisemblablement </w:t>
      </w:r>
      <w:r w:rsidR="003D503A">
        <w:rPr>
          <w:sz w:val="28"/>
          <w:szCs w:val="28"/>
        </w:rPr>
        <w:t>avant la clôture de</w:t>
      </w:r>
      <w:r w:rsidR="00C143D3">
        <w:rPr>
          <w:sz w:val="28"/>
          <w:szCs w:val="28"/>
        </w:rPr>
        <w:t xml:space="preserve">s comptes de </w:t>
      </w:r>
      <w:r w:rsidR="003D503A">
        <w:rPr>
          <w:sz w:val="28"/>
          <w:szCs w:val="28"/>
        </w:rPr>
        <w:t xml:space="preserve"> l’exercice 2022.</w:t>
      </w:r>
    </w:p>
    <w:p w:rsidR="003D503A" w:rsidRDefault="003D503A" w:rsidP="003D503A">
      <w:pPr>
        <w:ind w:left="217" w:right="283"/>
        <w:jc w:val="both"/>
        <w:rPr>
          <w:sz w:val="28"/>
          <w:szCs w:val="28"/>
        </w:rPr>
      </w:pPr>
    </w:p>
    <w:p w:rsidR="00975790" w:rsidRDefault="003D503A" w:rsidP="009048BA">
      <w:pPr>
        <w:ind w:left="217" w:right="283"/>
        <w:jc w:val="both"/>
        <w:rPr>
          <w:sz w:val="28"/>
          <w:szCs w:val="28"/>
        </w:rPr>
      </w:pPr>
      <w:r>
        <w:rPr>
          <w:sz w:val="28"/>
          <w:szCs w:val="28"/>
        </w:rPr>
        <w:t xml:space="preserve">Cette structure a </w:t>
      </w:r>
      <w:r w:rsidR="00C143D3">
        <w:rPr>
          <w:sz w:val="28"/>
          <w:szCs w:val="28"/>
        </w:rPr>
        <w:t>dans le cadre de son programme annuel effectué deux (02</w:t>
      </w:r>
      <w:r>
        <w:rPr>
          <w:sz w:val="28"/>
          <w:szCs w:val="28"/>
        </w:rPr>
        <w:t xml:space="preserve">) missions d’audit au niveau des unités </w:t>
      </w:r>
      <w:proofErr w:type="spellStart"/>
      <w:r>
        <w:rPr>
          <w:sz w:val="28"/>
          <w:szCs w:val="28"/>
        </w:rPr>
        <w:t>Mehri</w:t>
      </w:r>
      <w:proofErr w:type="spellEnd"/>
      <w:r>
        <w:rPr>
          <w:sz w:val="28"/>
          <w:szCs w:val="28"/>
        </w:rPr>
        <w:t xml:space="preserve"> d’</w:t>
      </w:r>
      <w:r w:rsidR="00C143D3">
        <w:rPr>
          <w:sz w:val="28"/>
          <w:szCs w:val="28"/>
        </w:rPr>
        <w:t>Ouargla et El-</w:t>
      </w:r>
      <w:proofErr w:type="spellStart"/>
      <w:r w:rsidR="00C143D3">
        <w:rPr>
          <w:sz w:val="28"/>
          <w:szCs w:val="28"/>
        </w:rPr>
        <w:t>Boustène</w:t>
      </w:r>
      <w:proofErr w:type="spellEnd"/>
      <w:r w:rsidR="00C143D3">
        <w:rPr>
          <w:sz w:val="28"/>
          <w:szCs w:val="28"/>
        </w:rPr>
        <w:t xml:space="preserve"> de </w:t>
      </w:r>
      <w:proofErr w:type="spellStart"/>
      <w:r w:rsidR="00C143D3">
        <w:rPr>
          <w:sz w:val="28"/>
          <w:szCs w:val="28"/>
        </w:rPr>
        <w:t>Ménéa</w:t>
      </w:r>
      <w:proofErr w:type="spellEnd"/>
      <w:r w:rsidR="00C143D3">
        <w:rPr>
          <w:sz w:val="28"/>
          <w:szCs w:val="28"/>
        </w:rPr>
        <w:t>.</w:t>
      </w:r>
    </w:p>
    <w:p w:rsidR="00975790" w:rsidRDefault="00975790" w:rsidP="009048BA">
      <w:pPr>
        <w:ind w:left="217" w:right="283"/>
        <w:jc w:val="both"/>
        <w:rPr>
          <w:sz w:val="28"/>
          <w:szCs w:val="28"/>
        </w:rPr>
      </w:pPr>
    </w:p>
    <w:p w:rsidR="00975790" w:rsidRDefault="00C143D3" w:rsidP="009048BA">
      <w:pPr>
        <w:ind w:left="217" w:right="283"/>
        <w:jc w:val="both"/>
        <w:rPr>
          <w:sz w:val="28"/>
          <w:szCs w:val="28"/>
        </w:rPr>
      </w:pPr>
      <w:r>
        <w:rPr>
          <w:sz w:val="28"/>
          <w:szCs w:val="28"/>
        </w:rPr>
        <w:t xml:space="preserve"> Ces missions d’audit ont porté pour l’essentiel </w:t>
      </w:r>
      <w:r w:rsidR="003D503A">
        <w:rPr>
          <w:sz w:val="28"/>
          <w:szCs w:val="28"/>
        </w:rPr>
        <w:t xml:space="preserve">sur </w:t>
      </w:r>
      <w:r>
        <w:rPr>
          <w:sz w:val="28"/>
          <w:szCs w:val="28"/>
        </w:rPr>
        <w:t xml:space="preserve">l’assainissement des comptes du bilan, </w:t>
      </w:r>
      <w:r w:rsidR="009048BA">
        <w:rPr>
          <w:sz w:val="28"/>
          <w:szCs w:val="28"/>
        </w:rPr>
        <w:t>p</w:t>
      </w:r>
      <w:r>
        <w:rPr>
          <w:sz w:val="28"/>
          <w:szCs w:val="28"/>
        </w:rPr>
        <w:t xml:space="preserve">résentant des soldes antérieurs et </w:t>
      </w:r>
      <w:r w:rsidR="009048BA">
        <w:rPr>
          <w:sz w:val="28"/>
          <w:szCs w:val="28"/>
        </w:rPr>
        <w:t xml:space="preserve"> sur l’assainisseme</w:t>
      </w:r>
      <w:r>
        <w:rPr>
          <w:sz w:val="28"/>
          <w:szCs w:val="28"/>
        </w:rPr>
        <w:t xml:space="preserve">nt des créances </w:t>
      </w:r>
      <w:proofErr w:type="gramStart"/>
      <w:r>
        <w:rPr>
          <w:sz w:val="28"/>
          <w:szCs w:val="28"/>
        </w:rPr>
        <w:t>débiteurs</w:t>
      </w:r>
      <w:proofErr w:type="gramEnd"/>
      <w:r>
        <w:rPr>
          <w:sz w:val="28"/>
          <w:szCs w:val="28"/>
        </w:rPr>
        <w:t xml:space="preserve"> hôtel et des PM &amp; PQ </w:t>
      </w:r>
      <w:r w:rsidR="009048BA">
        <w:rPr>
          <w:sz w:val="28"/>
          <w:szCs w:val="28"/>
        </w:rPr>
        <w:t xml:space="preserve"> au titre des exercices 2019 à 2021</w:t>
      </w:r>
      <w:r>
        <w:rPr>
          <w:sz w:val="28"/>
          <w:szCs w:val="28"/>
        </w:rPr>
        <w:t xml:space="preserve">. </w:t>
      </w:r>
    </w:p>
    <w:p w:rsidR="00975790" w:rsidRDefault="00975790" w:rsidP="009048BA">
      <w:pPr>
        <w:ind w:left="217" w:right="283"/>
        <w:jc w:val="both"/>
        <w:rPr>
          <w:sz w:val="28"/>
          <w:szCs w:val="28"/>
        </w:rPr>
      </w:pPr>
    </w:p>
    <w:p w:rsidR="002219D2" w:rsidRDefault="00C143D3" w:rsidP="00975790">
      <w:pPr>
        <w:ind w:left="217" w:right="283"/>
        <w:jc w:val="both"/>
        <w:rPr>
          <w:sz w:val="28"/>
          <w:szCs w:val="28"/>
        </w:rPr>
      </w:pPr>
      <w:r>
        <w:rPr>
          <w:sz w:val="28"/>
          <w:szCs w:val="28"/>
        </w:rPr>
        <w:t>Deux autres missions d’audit non contenues dans le programme annuel, l’une a porté sur une</w:t>
      </w:r>
      <w:r w:rsidR="009048BA">
        <w:rPr>
          <w:sz w:val="28"/>
          <w:szCs w:val="28"/>
        </w:rPr>
        <w:t xml:space="preserve"> vérification des installations informatiques et </w:t>
      </w:r>
      <w:r>
        <w:rPr>
          <w:sz w:val="28"/>
          <w:szCs w:val="28"/>
        </w:rPr>
        <w:t xml:space="preserve">sur le </w:t>
      </w:r>
      <w:r w:rsidR="009048BA">
        <w:rPr>
          <w:sz w:val="28"/>
          <w:szCs w:val="28"/>
        </w:rPr>
        <w:t>bon fonctionnement des serveurs des</w:t>
      </w:r>
      <w:r>
        <w:rPr>
          <w:sz w:val="28"/>
          <w:szCs w:val="28"/>
        </w:rPr>
        <w:t xml:space="preserve"> deux</w:t>
      </w:r>
      <w:r w:rsidR="009048BA">
        <w:rPr>
          <w:sz w:val="28"/>
          <w:szCs w:val="28"/>
        </w:rPr>
        <w:t xml:space="preserve"> unités</w:t>
      </w:r>
      <w:r>
        <w:rPr>
          <w:sz w:val="28"/>
          <w:szCs w:val="28"/>
        </w:rPr>
        <w:t xml:space="preserve"> du Sud.La seconde mission a visé le contrôle du </w:t>
      </w:r>
      <w:r w:rsidR="009048BA">
        <w:rPr>
          <w:sz w:val="28"/>
          <w:szCs w:val="28"/>
        </w:rPr>
        <w:t xml:space="preserve"> Front Office de l’unité EL-</w:t>
      </w:r>
      <w:proofErr w:type="spellStart"/>
      <w:r w:rsidR="007F6857">
        <w:rPr>
          <w:sz w:val="28"/>
          <w:szCs w:val="28"/>
        </w:rPr>
        <w:t>Boustène</w:t>
      </w:r>
      <w:proofErr w:type="spellEnd"/>
      <w:r w:rsidR="007F6857">
        <w:rPr>
          <w:sz w:val="28"/>
          <w:szCs w:val="28"/>
        </w:rPr>
        <w:t>,</w:t>
      </w:r>
      <w:r w:rsidR="00975790">
        <w:rPr>
          <w:sz w:val="28"/>
          <w:szCs w:val="28"/>
        </w:rPr>
        <w:t xml:space="preserve"> sous la charge du </w:t>
      </w:r>
      <w:r w:rsidR="000B62C6">
        <w:rPr>
          <w:sz w:val="28"/>
          <w:szCs w:val="28"/>
        </w:rPr>
        <w:t>ch</w:t>
      </w:r>
      <w:r>
        <w:rPr>
          <w:sz w:val="28"/>
          <w:szCs w:val="28"/>
        </w:rPr>
        <w:t>ef de réception de cette entité, en relation avec les PM&amp; PQ non justifiés.</w:t>
      </w:r>
    </w:p>
    <w:p w:rsidR="00A91A1E" w:rsidRDefault="00A91A1E" w:rsidP="00302222">
      <w:pPr>
        <w:ind w:right="283"/>
        <w:jc w:val="both"/>
        <w:rPr>
          <w:sz w:val="28"/>
          <w:szCs w:val="28"/>
        </w:rPr>
      </w:pPr>
    </w:p>
    <w:p w:rsidR="002219D2" w:rsidRPr="005E6181" w:rsidRDefault="007F6857" w:rsidP="002219D2">
      <w:pPr>
        <w:pStyle w:val="Retraitcorpsdetexte"/>
        <w:ind w:left="360" w:right="283"/>
        <w:jc w:val="both"/>
        <w:rPr>
          <w:b/>
          <w:color w:val="0000FF"/>
          <w:u w:val="single"/>
        </w:rPr>
      </w:pPr>
      <w:r>
        <w:rPr>
          <w:b/>
          <w:color w:val="0000FF"/>
          <w:u w:val="single"/>
        </w:rPr>
        <w:t>1-3</w:t>
      </w:r>
      <w:r w:rsidR="002219D2">
        <w:rPr>
          <w:b/>
          <w:color w:val="0000FF"/>
          <w:u w:val="single"/>
        </w:rPr>
        <w:t xml:space="preserve"> L’assainissement des comptes de dettes et  de créances des unités du Sud:</w:t>
      </w:r>
    </w:p>
    <w:p w:rsidR="002219D2" w:rsidRDefault="002219D2" w:rsidP="00302222">
      <w:pPr>
        <w:ind w:right="283"/>
        <w:jc w:val="both"/>
        <w:rPr>
          <w:sz w:val="28"/>
          <w:szCs w:val="28"/>
        </w:rPr>
      </w:pPr>
    </w:p>
    <w:p w:rsidR="00513348" w:rsidRDefault="00513348" w:rsidP="00DF648B">
      <w:pPr>
        <w:ind w:left="217" w:right="283"/>
        <w:jc w:val="both"/>
        <w:rPr>
          <w:sz w:val="28"/>
          <w:szCs w:val="28"/>
        </w:rPr>
      </w:pPr>
      <w:r>
        <w:rPr>
          <w:sz w:val="28"/>
          <w:szCs w:val="28"/>
        </w:rPr>
        <w:t>En application de la troisième résolution de l’Assemblée Générale Ordinaire des Actionnaires de la SPA EGH Chaine EI-</w:t>
      </w:r>
      <w:proofErr w:type="spellStart"/>
      <w:r>
        <w:rPr>
          <w:sz w:val="28"/>
          <w:szCs w:val="28"/>
        </w:rPr>
        <w:t>Aurassi</w:t>
      </w:r>
      <w:proofErr w:type="spellEnd"/>
      <w:r>
        <w:rPr>
          <w:sz w:val="28"/>
          <w:szCs w:val="28"/>
        </w:rPr>
        <w:t xml:space="preserve"> </w:t>
      </w:r>
      <w:r w:rsidR="00E21FA0">
        <w:rPr>
          <w:sz w:val="28"/>
          <w:szCs w:val="28"/>
        </w:rPr>
        <w:t xml:space="preserve">, </w:t>
      </w:r>
      <w:r>
        <w:rPr>
          <w:sz w:val="28"/>
          <w:szCs w:val="28"/>
        </w:rPr>
        <w:t>statuant sur le rapport de gestion du Conseil d’Administration et sur les états financiers arrêtés au 31 Décembre 2018, la filiale a mis à exécution la résolution</w:t>
      </w:r>
      <w:r w:rsidR="00DF648B">
        <w:rPr>
          <w:sz w:val="28"/>
          <w:szCs w:val="28"/>
        </w:rPr>
        <w:t xml:space="preserve"> portant sur l’</w:t>
      </w:r>
      <w:r>
        <w:rPr>
          <w:sz w:val="28"/>
          <w:szCs w:val="28"/>
        </w:rPr>
        <w:t xml:space="preserve">assainissement des </w:t>
      </w:r>
      <w:r w:rsidR="00DF648B">
        <w:rPr>
          <w:sz w:val="28"/>
          <w:szCs w:val="28"/>
        </w:rPr>
        <w:t xml:space="preserve"> comptes de </w:t>
      </w:r>
      <w:r>
        <w:rPr>
          <w:sz w:val="28"/>
          <w:szCs w:val="28"/>
        </w:rPr>
        <w:t xml:space="preserve">dettes </w:t>
      </w:r>
      <w:r w:rsidR="00DF648B">
        <w:rPr>
          <w:sz w:val="28"/>
          <w:szCs w:val="28"/>
        </w:rPr>
        <w:t>et de créances des unités du Sud</w:t>
      </w:r>
      <w:r>
        <w:rPr>
          <w:sz w:val="28"/>
          <w:szCs w:val="28"/>
        </w:rPr>
        <w:t xml:space="preserve"> d’un montant de 76.689.026,99 DA</w:t>
      </w:r>
      <w:r w:rsidR="00153795">
        <w:rPr>
          <w:sz w:val="28"/>
          <w:szCs w:val="28"/>
        </w:rPr>
        <w:t>, pour l’EGT Ouest . Elle</w:t>
      </w:r>
      <w:r w:rsidR="00DF648B">
        <w:rPr>
          <w:sz w:val="28"/>
          <w:szCs w:val="28"/>
        </w:rPr>
        <w:t xml:space="preserve"> a été suivi</w:t>
      </w:r>
      <w:r w:rsidR="00153795">
        <w:rPr>
          <w:sz w:val="28"/>
          <w:szCs w:val="28"/>
        </w:rPr>
        <w:t>e</w:t>
      </w:r>
      <w:r w:rsidR="00DF648B">
        <w:rPr>
          <w:sz w:val="28"/>
          <w:szCs w:val="28"/>
        </w:rPr>
        <w:t xml:space="preserve"> de</w:t>
      </w:r>
      <w:r w:rsidR="00153795">
        <w:rPr>
          <w:sz w:val="28"/>
          <w:szCs w:val="28"/>
        </w:rPr>
        <w:t xml:space="preserve"> la mise en place </w:t>
      </w:r>
      <w:r w:rsidR="00DF648B">
        <w:rPr>
          <w:sz w:val="28"/>
          <w:szCs w:val="28"/>
        </w:rPr>
        <w:t xml:space="preserve">et de l’exécution </w:t>
      </w:r>
      <w:r>
        <w:rPr>
          <w:sz w:val="28"/>
          <w:szCs w:val="28"/>
        </w:rPr>
        <w:t xml:space="preserve">d’un échéancier </w:t>
      </w:r>
      <w:r w:rsidR="00DF648B">
        <w:rPr>
          <w:sz w:val="28"/>
          <w:szCs w:val="28"/>
        </w:rPr>
        <w:t xml:space="preserve">de </w:t>
      </w:r>
      <w:r>
        <w:rPr>
          <w:sz w:val="28"/>
          <w:szCs w:val="28"/>
        </w:rPr>
        <w:t xml:space="preserve">paiement </w:t>
      </w:r>
      <w:r w:rsidR="00153795">
        <w:rPr>
          <w:sz w:val="28"/>
          <w:szCs w:val="28"/>
        </w:rPr>
        <w:t xml:space="preserve">relatif à </w:t>
      </w:r>
      <w:r>
        <w:rPr>
          <w:sz w:val="28"/>
          <w:szCs w:val="28"/>
        </w:rPr>
        <w:t>la dette CNAS d’un montant de 17.994.450,71 DA, dont la dernière échéance a été liquidée en Octobre 2020.</w:t>
      </w:r>
    </w:p>
    <w:p w:rsidR="00513348" w:rsidRDefault="00513348" w:rsidP="002219D2">
      <w:pPr>
        <w:ind w:left="217" w:right="283"/>
        <w:jc w:val="both"/>
        <w:rPr>
          <w:sz w:val="28"/>
          <w:szCs w:val="28"/>
        </w:rPr>
      </w:pPr>
    </w:p>
    <w:p w:rsidR="00DB221D" w:rsidRDefault="00DF648B" w:rsidP="00DB221D">
      <w:pPr>
        <w:ind w:left="217" w:right="283"/>
        <w:jc w:val="both"/>
        <w:rPr>
          <w:sz w:val="28"/>
          <w:szCs w:val="28"/>
        </w:rPr>
      </w:pPr>
      <w:r>
        <w:rPr>
          <w:sz w:val="28"/>
          <w:szCs w:val="28"/>
        </w:rPr>
        <w:t xml:space="preserve">En ce qui concerne, </w:t>
      </w:r>
      <w:r w:rsidR="00513348">
        <w:rPr>
          <w:sz w:val="28"/>
          <w:szCs w:val="28"/>
        </w:rPr>
        <w:t>l’EGT Ghardaïa</w:t>
      </w:r>
      <w:r>
        <w:rPr>
          <w:sz w:val="28"/>
          <w:szCs w:val="28"/>
        </w:rPr>
        <w:t xml:space="preserve">, l’assainissement et le rapprochement a été engagé avec </w:t>
      </w:r>
      <w:r w:rsidR="000527D9">
        <w:rPr>
          <w:sz w:val="28"/>
          <w:szCs w:val="28"/>
        </w:rPr>
        <w:t xml:space="preserve">l’entreprise. Il </w:t>
      </w:r>
      <w:r w:rsidR="00DB221D">
        <w:rPr>
          <w:sz w:val="28"/>
          <w:szCs w:val="28"/>
        </w:rPr>
        <w:t xml:space="preserve">a porté sur une dette </w:t>
      </w:r>
      <w:r w:rsidR="00513348">
        <w:rPr>
          <w:sz w:val="28"/>
          <w:szCs w:val="28"/>
        </w:rPr>
        <w:t>de 67.518.817,1</w:t>
      </w:r>
      <w:r w:rsidR="002F2938">
        <w:rPr>
          <w:sz w:val="28"/>
          <w:szCs w:val="28"/>
        </w:rPr>
        <w:t xml:space="preserve">7 </w:t>
      </w:r>
      <w:r w:rsidR="00DB221D">
        <w:rPr>
          <w:sz w:val="28"/>
          <w:szCs w:val="28"/>
        </w:rPr>
        <w:t>DA, comme visé par la résolution de l’Assemblée Générale.</w:t>
      </w:r>
    </w:p>
    <w:p w:rsidR="00975790" w:rsidRDefault="00975790" w:rsidP="00DB221D">
      <w:pPr>
        <w:ind w:left="217" w:right="283"/>
        <w:jc w:val="both"/>
        <w:rPr>
          <w:sz w:val="28"/>
          <w:szCs w:val="28"/>
        </w:rPr>
      </w:pPr>
    </w:p>
    <w:p w:rsidR="00975790" w:rsidRDefault="00975790" w:rsidP="00DB221D">
      <w:pPr>
        <w:ind w:left="217" w:right="283"/>
        <w:jc w:val="both"/>
        <w:rPr>
          <w:sz w:val="28"/>
          <w:szCs w:val="28"/>
        </w:rPr>
      </w:pPr>
      <w:r>
        <w:rPr>
          <w:sz w:val="28"/>
          <w:szCs w:val="28"/>
        </w:rPr>
        <w:t>Indépendamment</w:t>
      </w:r>
      <w:r w:rsidR="00E331C9">
        <w:rPr>
          <w:sz w:val="28"/>
          <w:szCs w:val="28"/>
        </w:rPr>
        <w:t xml:space="preserve"> de cette conformité des soldes inter filiales, </w:t>
      </w:r>
      <w:r>
        <w:rPr>
          <w:sz w:val="28"/>
          <w:szCs w:val="28"/>
        </w:rPr>
        <w:t xml:space="preserve"> d’autres assainissements sont à entreprendre au niveau des unités du Sud, visant les anciens solde</w:t>
      </w:r>
      <w:r w:rsidR="00F554DA">
        <w:rPr>
          <w:sz w:val="28"/>
          <w:szCs w:val="28"/>
        </w:rPr>
        <w:t>s de dettes et de créances</w:t>
      </w:r>
      <w:r w:rsidR="00E21FA0">
        <w:rPr>
          <w:sz w:val="28"/>
          <w:szCs w:val="28"/>
        </w:rPr>
        <w:t xml:space="preserve">, </w:t>
      </w:r>
      <w:r w:rsidR="00F554DA">
        <w:rPr>
          <w:sz w:val="28"/>
          <w:szCs w:val="28"/>
        </w:rPr>
        <w:t xml:space="preserve"> tel</w:t>
      </w:r>
      <w:r>
        <w:rPr>
          <w:sz w:val="28"/>
          <w:szCs w:val="28"/>
        </w:rPr>
        <w:t xml:space="preserve">s que  soulignés </w:t>
      </w:r>
      <w:r w:rsidR="00F554DA">
        <w:rPr>
          <w:sz w:val="28"/>
          <w:szCs w:val="28"/>
        </w:rPr>
        <w:t>dans le rapport du Commissaire aux comptes.</w:t>
      </w:r>
    </w:p>
    <w:p w:rsidR="00E21FA0" w:rsidRDefault="00E21FA0" w:rsidP="00DB221D">
      <w:pPr>
        <w:ind w:left="217" w:right="283"/>
        <w:jc w:val="both"/>
        <w:rPr>
          <w:sz w:val="28"/>
          <w:szCs w:val="28"/>
        </w:rPr>
      </w:pPr>
    </w:p>
    <w:p w:rsidR="00E21FA0" w:rsidRDefault="00E21FA0" w:rsidP="00DB221D">
      <w:pPr>
        <w:ind w:left="217" w:right="283"/>
        <w:jc w:val="both"/>
        <w:rPr>
          <w:sz w:val="28"/>
          <w:szCs w:val="28"/>
        </w:rPr>
      </w:pPr>
    </w:p>
    <w:p w:rsidR="00E21FA0" w:rsidRDefault="00E21FA0" w:rsidP="00DB221D">
      <w:pPr>
        <w:ind w:left="217" w:right="283"/>
        <w:jc w:val="both"/>
        <w:rPr>
          <w:sz w:val="28"/>
          <w:szCs w:val="28"/>
        </w:rPr>
      </w:pPr>
    </w:p>
    <w:p w:rsidR="00E21FA0" w:rsidRDefault="00E21FA0" w:rsidP="00DB221D">
      <w:pPr>
        <w:ind w:left="217" w:right="283"/>
        <w:jc w:val="both"/>
        <w:rPr>
          <w:sz w:val="28"/>
          <w:szCs w:val="28"/>
        </w:rPr>
      </w:pPr>
    </w:p>
    <w:p w:rsidR="002F2938" w:rsidRDefault="002F2938" w:rsidP="00302222">
      <w:pPr>
        <w:ind w:right="283"/>
        <w:jc w:val="both"/>
        <w:rPr>
          <w:sz w:val="28"/>
        </w:rPr>
      </w:pPr>
    </w:p>
    <w:p w:rsidR="005E6181" w:rsidRPr="005E6181" w:rsidRDefault="007F6857" w:rsidP="007667FF">
      <w:pPr>
        <w:pStyle w:val="Retraitcorpsdetexte"/>
        <w:ind w:left="360" w:right="283"/>
        <w:jc w:val="both"/>
        <w:rPr>
          <w:b/>
          <w:color w:val="0000FF"/>
          <w:u w:val="single"/>
        </w:rPr>
      </w:pPr>
      <w:r>
        <w:rPr>
          <w:b/>
          <w:color w:val="0000FF"/>
          <w:u w:val="single"/>
        </w:rPr>
        <w:t xml:space="preserve">1-4 </w:t>
      </w:r>
      <w:r w:rsidR="00857CC9">
        <w:rPr>
          <w:b/>
          <w:color w:val="0000FF"/>
          <w:u w:val="single"/>
        </w:rPr>
        <w:t>Le programme de réhabilitation  de l’entité EL-</w:t>
      </w:r>
      <w:proofErr w:type="spellStart"/>
      <w:r w:rsidR="00857CC9">
        <w:rPr>
          <w:b/>
          <w:color w:val="0000FF"/>
          <w:u w:val="single"/>
        </w:rPr>
        <w:t>Aurassi</w:t>
      </w:r>
      <w:proofErr w:type="spellEnd"/>
      <w:r w:rsidR="00857CC9">
        <w:rPr>
          <w:b/>
          <w:color w:val="0000FF"/>
          <w:u w:val="single"/>
        </w:rPr>
        <w:t>:</w:t>
      </w:r>
    </w:p>
    <w:p w:rsidR="005E6181" w:rsidRPr="005E6181" w:rsidRDefault="005E6181" w:rsidP="002E41DF">
      <w:pPr>
        <w:ind w:left="217" w:right="283"/>
        <w:jc w:val="both"/>
      </w:pPr>
    </w:p>
    <w:p w:rsidR="009964CA" w:rsidRDefault="00DB221D" w:rsidP="00A65AB6">
      <w:pPr>
        <w:ind w:left="217" w:right="283"/>
        <w:jc w:val="both"/>
        <w:rPr>
          <w:sz w:val="28"/>
          <w:szCs w:val="28"/>
        </w:rPr>
      </w:pPr>
      <w:r>
        <w:rPr>
          <w:sz w:val="28"/>
          <w:szCs w:val="28"/>
        </w:rPr>
        <w:t>L</w:t>
      </w:r>
      <w:r w:rsidR="009964CA">
        <w:rPr>
          <w:sz w:val="28"/>
          <w:szCs w:val="28"/>
        </w:rPr>
        <w:t>e programme de réhabilitation</w:t>
      </w:r>
      <w:r>
        <w:rPr>
          <w:sz w:val="28"/>
          <w:szCs w:val="28"/>
        </w:rPr>
        <w:t xml:space="preserve"> de l’entité EL-</w:t>
      </w:r>
      <w:proofErr w:type="spellStart"/>
      <w:r>
        <w:rPr>
          <w:sz w:val="28"/>
          <w:szCs w:val="28"/>
        </w:rPr>
        <w:t>Aurassi</w:t>
      </w:r>
      <w:proofErr w:type="spellEnd"/>
      <w:r>
        <w:rPr>
          <w:sz w:val="28"/>
          <w:szCs w:val="28"/>
        </w:rPr>
        <w:t xml:space="preserve"> a fait l’objet d’un dernier avenant N°</w:t>
      </w:r>
      <w:proofErr w:type="gramStart"/>
      <w:r>
        <w:rPr>
          <w:sz w:val="28"/>
          <w:szCs w:val="28"/>
        </w:rPr>
        <w:t xml:space="preserve">10 </w:t>
      </w:r>
      <w:r w:rsidR="00E21FA0">
        <w:rPr>
          <w:sz w:val="28"/>
          <w:szCs w:val="28"/>
        </w:rPr>
        <w:t>,</w:t>
      </w:r>
      <w:proofErr w:type="gramEnd"/>
      <w:r w:rsidR="00E21FA0">
        <w:rPr>
          <w:sz w:val="28"/>
          <w:szCs w:val="28"/>
        </w:rPr>
        <w:t xml:space="preserve"> </w:t>
      </w:r>
      <w:r>
        <w:rPr>
          <w:sz w:val="28"/>
          <w:szCs w:val="28"/>
        </w:rPr>
        <w:t>portant à la demande de la Protection Civile</w:t>
      </w:r>
      <w:r w:rsidR="00A65AB6">
        <w:rPr>
          <w:sz w:val="28"/>
          <w:szCs w:val="28"/>
        </w:rPr>
        <w:t xml:space="preserve">, </w:t>
      </w:r>
      <w:r>
        <w:rPr>
          <w:sz w:val="28"/>
          <w:szCs w:val="28"/>
        </w:rPr>
        <w:t>sur</w:t>
      </w:r>
      <w:r w:rsidR="009964CA">
        <w:rPr>
          <w:sz w:val="28"/>
          <w:szCs w:val="28"/>
        </w:rPr>
        <w:t xml:space="preserve"> la fourniture et l’installation d’escaliers de secours complémentaires, en façade arrière d’un montant de 741.050,00€. Ces travaux </w:t>
      </w:r>
      <w:r w:rsidR="000527D9">
        <w:rPr>
          <w:sz w:val="28"/>
          <w:szCs w:val="28"/>
        </w:rPr>
        <w:t xml:space="preserve">ont </w:t>
      </w:r>
      <w:r w:rsidR="009964CA">
        <w:rPr>
          <w:sz w:val="28"/>
          <w:szCs w:val="28"/>
        </w:rPr>
        <w:t xml:space="preserve">été achevés </w:t>
      </w:r>
      <w:r w:rsidR="000527D9">
        <w:rPr>
          <w:sz w:val="28"/>
          <w:szCs w:val="28"/>
        </w:rPr>
        <w:t xml:space="preserve">au courant de </w:t>
      </w:r>
      <w:r w:rsidR="009964CA">
        <w:rPr>
          <w:sz w:val="28"/>
          <w:szCs w:val="28"/>
        </w:rPr>
        <w:t>l’exercice 2016.</w:t>
      </w:r>
    </w:p>
    <w:p w:rsidR="009964CA" w:rsidRDefault="009964CA" w:rsidP="009964CA">
      <w:pPr>
        <w:ind w:left="217" w:right="283"/>
        <w:jc w:val="both"/>
        <w:rPr>
          <w:sz w:val="28"/>
          <w:szCs w:val="28"/>
        </w:rPr>
      </w:pPr>
    </w:p>
    <w:p w:rsidR="00330C38" w:rsidRDefault="00A65AB6" w:rsidP="00A65AB6">
      <w:pPr>
        <w:ind w:left="217" w:right="283"/>
        <w:jc w:val="both"/>
        <w:rPr>
          <w:sz w:val="28"/>
          <w:szCs w:val="28"/>
        </w:rPr>
      </w:pPr>
      <w:r>
        <w:rPr>
          <w:sz w:val="28"/>
          <w:szCs w:val="28"/>
        </w:rPr>
        <w:t>Deux situations d’un montant global de 343.019,36 € ont été établies par le Groupement KEF (Turquie), qui</w:t>
      </w:r>
      <w:r w:rsidR="00E21FA0">
        <w:rPr>
          <w:sz w:val="28"/>
          <w:szCs w:val="28"/>
        </w:rPr>
        <w:t xml:space="preserve"> </w:t>
      </w:r>
      <w:r w:rsidR="00330C38">
        <w:rPr>
          <w:sz w:val="28"/>
          <w:szCs w:val="28"/>
        </w:rPr>
        <w:t xml:space="preserve">n’ont pu être </w:t>
      </w:r>
      <w:r>
        <w:rPr>
          <w:sz w:val="28"/>
          <w:szCs w:val="28"/>
        </w:rPr>
        <w:t xml:space="preserve">réglées, en raison du défaut </w:t>
      </w:r>
      <w:r w:rsidR="00330C38">
        <w:rPr>
          <w:sz w:val="28"/>
          <w:szCs w:val="28"/>
        </w:rPr>
        <w:t xml:space="preserve"> de </w:t>
      </w:r>
      <w:r w:rsidR="000527D9">
        <w:rPr>
          <w:sz w:val="28"/>
          <w:szCs w:val="28"/>
        </w:rPr>
        <w:t xml:space="preserve">production </w:t>
      </w:r>
      <w:r>
        <w:rPr>
          <w:sz w:val="28"/>
          <w:szCs w:val="28"/>
        </w:rPr>
        <w:t xml:space="preserve">par ledit Groupement, </w:t>
      </w:r>
      <w:r w:rsidR="00330C38">
        <w:rPr>
          <w:sz w:val="28"/>
          <w:szCs w:val="28"/>
        </w:rPr>
        <w:t xml:space="preserve">des attestations de transferts délivrées par l’administration fiscale, portant sur les prestations réalisées en Algérie, par des sociétés non résidentes, </w:t>
      </w:r>
      <w:r w:rsidR="000527D9">
        <w:rPr>
          <w:sz w:val="28"/>
          <w:szCs w:val="28"/>
        </w:rPr>
        <w:t>et ce, en raison</w:t>
      </w:r>
      <w:r>
        <w:rPr>
          <w:sz w:val="28"/>
          <w:szCs w:val="28"/>
        </w:rPr>
        <w:t xml:space="preserve"> d’un </w:t>
      </w:r>
      <w:r w:rsidR="00330C38">
        <w:rPr>
          <w:sz w:val="28"/>
          <w:szCs w:val="28"/>
        </w:rPr>
        <w:t>litige</w:t>
      </w:r>
      <w:r>
        <w:rPr>
          <w:sz w:val="28"/>
          <w:szCs w:val="28"/>
        </w:rPr>
        <w:t xml:space="preserve"> qui oppose le Groupement KEF </w:t>
      </w:r>
      <w:r w:rsidR="00330C38">
        <w:rPr>
          <w:sz w:val="28"/>
          <w:szCs w:val="28"/>
        </w:rPr>
        <w:t>(Turquie) à l’administration fiscale.</w:t>
      </w:r>
    </w:p>
    <w:p w:rsidR="00330C38" w:rsidRDefault="00330C38" w:rsidP="00330C38">
      <w:pPr>
        <w:ind w:left="217" w:right="283"/>
        <w:jc w:val="both"/>
        <w:rPr>
          <w:sz w:val="28"/>
          <w:szCs w:val="28"/>
        </w:rPr>
      </w:pPr>
    </w:p>
    <w:p w:rsidR="00F250AE" w:rsidRDefault="00A65AB6" w:rsidP="00A65AB6">
      <w:pPr>
        <w:ind w:left="217" w:right="283"/>
        <w:jc w:val="both"/>
        <w:rPr>
          <w:sz w:val="28"/>
          <w:szCs w:val="28"/>
        </w:rPr>
      </w:pPr>
      <w:r>
        <w:rPr>
          <w:sz w:val="28"/>
          <w:szCs w:val="28"/>
        </w:rPr>
        <w:t xml:space="preserve"> Une situation de blocage a été créée </w:t>
      </w:r>
      <w:r w:rsidR="00330C38">
        <w:rPr>
          <w:sz w:val="28"/>
          <w:szCs w:val="28"/>
        </w:rPr>
        <w:t xml:space="preserve"> qui n’est </w:t>
      </w:r>
      <w:r w:rsidR="000527D9">
        <w:rPr>
          <w:sz w:val="28"/>
          <w:szCs w:val="28"/>
        </w:rPr>
        <w:t xml:space="preserve">nullement </w:t>
      </w:r>
      <w:r w:rsidR="00330C38">
        <w:rPr>
          <w:sz w:val="28"/>
          <w:szCs w:val="28"/>
        </w:rPr>
        <w:t>du fait de la filiale,</w:t>
      </w:r>
      <w:r w:rsidR="00E21FA0">
        <w:rPr>
          <w:sz w:val="28"/>
          <w:szCs w:val="28"/>
        </w:rPr>
        <w:t xml:space="preserve"> </w:t>
      </w:r>
      <w:r w:rsidR="000527D9">
        <w:rPr>
          <w:sz w:val="28"/>
          <w:szCs w:val="28"/>
        </w:rPr>
        <w:t xml:space="preserve">elle relève </w:t>
      </w:r>
      <w:r>
        <w:rPr>
          <w:sz w:val="28"/>
          <w:szCs w:val="28"/>
        </w:rPr>
        <w:t xml:space="preserve">du </w:t>
      </w:r>
      <w:r w:rsidR="00330C38">
        <w:rPr>
          <w:sz w:val="28"/>
          <w:szCs w:val="28"/>
        </w:rPr>
        <w:t xml:space="preserve">Groupement KEF (Turquie) </w:t>
      </w:r>
      <w:r>
        <w:rPr>
          <w:sz w:val="28"/>
          <w:szCs w:val="28"/>
        </w:rPr>
        <w:t xml:space="preserve">qui s’est permis de porter, </w:t>
      </w:r>
      <w:r w:rsidR="00A27D9B">
        <w:rPr>
          <w:sz w:val="28"/>
          <w:szCs w:val="28"/>
        </w:rPr>
        <w:t xml:space="preserve">en date du </w:t>
      </w:r>
      <w:r w:rsidR="007862BB">
        <w:rPr>
          <w:sz w:val="28"/>
          <w:szCs w:val="28"/>
        </w:rPr>
        <w:t xml:space="preserve">20 Novembre </w:t>
      </w:r>
      <w:r w:rsidR="00F250AE">
        <w:rPr>
          <w:sz w:val="28"/>
          <w:szCs w:val="28"/>
        </w:rPr>
        <w:t xml:space="preserve">2018, </w:t>
      </w:r>
      <w:r w:rsidR="00A27D9B">
        <w:rPr>
          <w:sz w:val="28"/>
          <w:szCs w:val="28"/>
        </w:rPr>
        <w:t xml:space="preserve">le litige à l’arbitrage de la Chambre de Commerce Internationale de Paris. </w:t>
      </w:r>
    </w:p>
    <w:p w:rsidR="00F250AE" w:rsidRDefault="00F250AE" w:rsidP="00A65AB6">
      <w:pPr>
        <w:ind w:right="283"/>
        <w:jc w:val="both"/>
        <w:rPr>
          <w:sz w:val="28"/>
          <w:szCs w:val="28"/>
        </w:rPr>
      </w:pPr>
    </w:p>
    <w:p w:rsidR="00F250AE" w:rsidRDefault="000527D9" w:rsidP="00A27D9B">
      <w:pPr>
        <w:ind w:left="217" w:right="283"/>
        <w:jc w:val="both"/>
        <w:rPr>
          <w:sz w:val="28"/>
          <w:szCs w:val="28"/>
        </w:rPr>
      </w:pPr>
      <w:r>
        <w:rPr>
          <w:sz w:val="28"/>
          <w:szCs w:val="28"/>
        </w:rPr>
        <w:t>Aussi, d</w:t>
      </w:r>
      <w:r w:rsidR="00A65AB6">
        <w:rPr>
          <w:sz w:val="28"/>
          <w:szCs w:val="28"/>
        </w:rPr>
        <w:t>ans le cadre de la procédure de la Chambre de Commerce Internationale de  P</w:t>
      </w:r>
      <w:r>
        <w:rPr>
          <w:sz w:val="28"/>
          <w:szCs w:val="28"/>
        </w:rPr>
        <w:t>aris,</w:t>
      </w:r>
      <w:r w:rsidR="00A65AB6">
        <w:rPr>
          <w:sz w:val="28"/>
          <w:szCs w:val="28"/>
        </w:rPr>
        <w:t xml:space="preserve"> u</w:t>
      </w:r>
      <w:r w:rsidR="00913D13">
        <w:rPr>
          <w:sz w:val="28"/>
          <w:szCs w:val="28"/>
        </w:rPr>
        <w:t>n arbitre unique</w:t>
      </w:r>
      <w:r w:rsidR="00F250AE">
        <w:rPr>
          <w:sz w:val="28"/>
          <w:szCs w:val="28"/>
        </w:rPr>
        <w:t xml:space="preserve"> a été désigné</w:t>
      </w:r>
      <w:r w:rsidR="00913D13">
        <w:rPr>
          <w:sz w:val="28"/>
          <w:szCs w:val="28"/>
        </w:rPr>
        <w:t xml:space="preserve"> par la CCI </w:t>
      </w:r>
      <w:r w:rsidR="00F250AE">
        <w:rPr>
          <w:sz w:val="28"/>
          <w:szCs w:val="28"/>
        </w:rPr>
        <w:t xml:space="preserve"> le 15 Février 2019, une conférence sur la gestion de la procédure a été tenue à Paris</w:t>
      </w:r>
      <w:r>
        <w:rPr>
          <w:sz w:val="28"/>
          <w:szCs w:val="28"/>
        </w:rPr>
        <w:t xml:space="preserve"> le 12 Juillet 2019, un mémoire</w:t>
      </w:r>
      <w:r w:rsidR="00F250AE">
        <w:rPr>
          <w:sz w:val="28"/>
          <w:szCs w:val="28"/>
        </w:rPr>
        <w:t xml:space="preserve"> en demande des demandeurs a été reçu par nos soins le 30 Septembre 2019, un contre mémoire du défendeur </w:t>
      </w:r>
      <w:r w:rsidR="007862BB">
        <w:rPr>
          <w:sz w:val="28"/>
          <w:szCs w:val="28"/>
        </w:rPr>
        <w:t xml:space="preserve">a été élaboré et transmis aux parties dans les délais requis, soit le </w:t>
      </w:r>
      <w:r w:rsidR="00F250AE">
        <w:rPr>
          <w:sz w:val="28"/>
          <w:szCs w:val="28"/>
        </w:rPr>
        <w:t>15 Novembre 2019.</w:t>
      </w:r>
    </w:p>
    <w:p w:rsidR="00A27D9B" w:rsidRDefault="00A27D9B" w:rsidP="00A27D9B">
      <w:pPr>
        <w:ind w:left="217" w:right="283"/>
        <w:jc w:val="both"/>
        <w:rPr>
          <w:sz w:val="28"/>
          <w:szCs w:val="28"/>
        </w:rPr>
      </w:pPr>
    </w:p>
    <w:p w:rsidR="00F250AE" w:rsidRDefault="00F250AE" w:rsidP="00913D13">
      <w:pPr>
        <w:ind w:left="217" w:right="283"/>
        <w:jc w:val="both"/>
        <w:rPr>
          <w:sz w:val="28"/>
          <w:szCs w:val="28"/>
        </w:rPr>
      </w:pPr>
      <w:r>
        <w:rPr>
          <w:sz w:val="28"/>
          <w:szCs w:val="28"/>
        </w:rPr>
        <w:t xml:space="preserve">Les demandeurs ont réclamé à travers leur mémoire </w:t>
      </w:r>
      <w:r w:rsidR="000527D9">
        <w:rPr>
          <w:sz w:val="28"/>
          <w:szCs w:val="28"/>
        </w:rPr>
        <w:t xml:space="preserve">initial </w:t>
      </w:r>
      <w:r>
        <w:rPr>
          <w:sz w:val="28"/>
          <w:szCs w:val="28"/>
        </w:rPr>
        <w:t>un</w:t>
      </w:r>
      <w:r w:rsidR="000527D9">
        <w:rPr>
          <w:sz w:val="28"/>
          <w:szCs w:val="28"/>
        </w:rPr>
        <w:t xml:space="preserve">e </w:t>
      </w:r>
      <w:r w:rsidR="000B62C6">
        <w:rPr>
          <w:sz w:val="28"/>
          <w:szCs w:val="28"/>
        </w:rPr>
        <w:t>indemnisation,</w:t>
      </w:r>
      <w:r w:rsidR="007862BB">
        <w:rPr>
          <w:sz w:val="28"/>
          <w:szCs w:val="28"/>
        </w:rPr>
        <w:t xml:space="preserve"> en guise de première demande d</w:t>
      </w:r>
      <w:r w:rsidR="000527D9">
        <w:rPr>
          <w:sz w:val="28"/>
          <w:szCs w:val="28"/>
        </w:rPr>
        <w:t>e 1.359.050,16€, pour ensuite la</w:t>
      </w:r>
      <w:r w:rsidR="007862BB">
        <w:rPr>
          <w:sz w:val="28"/>
          <w:szCs w:val="28"/>
        </w:rPr>
        <w:t xml:space="preserve"> ramener, </w:t>
      </w:r>
      <w:r w:rsidR="000527D9">
        <w:rPr>
          <w:sz w:val="28"/>
          <w:szCs w:val="28"/>
        </w:rPr>
        <w:t xml:space="preserve">au regard, </w:t>
      </w:r>
      <w:r w:rsidR="00913D13">
        <w:rPr>
          <w:sz w:val="28"/>
          <w:szCs w:val="28"/>
        </w:rPr>
        <w:t xml:space="preserve"> des contre mémoires et d</w:t>
      </w:r>
      <w:r w:rsidR="007862BB">
        <w:rPr>
          <w:sz w:val="28"/>
          <w:szCs w:val="28"/>
        </w:rPr>
        <w:t xml:space="preserve">es répliques des parties  à la baisse </w:t>
      </w:r>
      <w:r w:rsidR="00E21FA0">
        <w:rPr>
          <w:sz w:val="28"/>
          <w:szCs w:val="28"/>
        </w:rPr>
        <w:t xml:space="preserve">avec un montant de </w:t>
      </w:r>
      <w:r>
        <w:rPr>
          <w:sz w:val="28"/>
          <w:szCs w:val="28"/>
        </w:rPr>
        <w:t>735.107,17€. Le montant confirmé et approuvé par le défendeur est de 343.019,36€, représentant deux situations de travaux</w:t>
      </w:r>
      <w:r w:rsidR="007862BB">
        <w:rPr>
          <w:sz w:val="28"/>
          <w:szCs w:val="28"/>
        </w:rPr>
        <w:t xml:space="preserve"> N°01 et N°02 de l’avenant N°10. </w:t>
      </w:r>
    </w:p>
    <w:p w:rsidR="007862BB" w:rsidRDefault="007862BB" w:rsidP="007862BB">
      <w:pPr>
        <w:ind w:left="217" w:right="283"/>
        <w:jc w:val="both"/>
        <w:rPr>
          <w:sz w:val="28"/>
          <w:szCs w:val="28"/>
        </w:rPr>
      </w:pPr>
    </w:p>
    <w:p w:rsidR="007862BB" w:rsidRDefault="007862BB" w:rsidP="007862BB">
      <w:pPr>
        <w:ind w:left="217" w:right="283"/>
        <w:jc w:val="both"/>
        <w:rPr>
          <w:sz w:val="28"/>
          <w:szCs w:val="28"/>
        </w:rPr>
      </w:pPr>
      <w:r>
        <w:rPr>
          <w:sz w:val="28"/>
          <w:szCs w:val="28"/>
        </w:rPr>
        <w:t>A l’issue de toute la procédu</w:t>
      </w:r>
      <w:r w:rsidR="00E21FA0">
        <w:rPr>
          <w:sz w:val="28"/>
          <w:szCs w:val="28"/>
        </w:rPr>
        <w:t xml:space="preserve">re d’arbitrage et notamment lors de la </w:t>
      </w:r>
      <w:r>
        <w:rPr>
          <w:sz w:val="28"/>
          <w:szCs w:val="28"/>
        </w:rPr>
        <w:t xml:space="preserve"> séance d’arbitrage présidée </w:t>
      </w:r>
      <w:r w:rsidR="00382622">
        <w:rPr>
          <w:sz w:val="28"/>
          <w:szCs w:val="28"/>
        </w:rPr>
        <w:t xml:space="preserve">par l’arbitre </w:t>
      </w:r>
      <w:r w:rsidR="00E21FA0">
        <w:rPr>
          <w:sz w:val="28"/>
          <w:szCs w:val="28"/>
        </w:rPr>
        <w:t xml:space="preserve">unique, </w:t>
      </w:r>
      <w:r w:rsidR="00382622">
        <w:rPr>
          <w:sz w:val="28"/>
          <w:szCs w:val="28"/>
        </w:rPr>
        <w:t>en date du 27 Février 2020 à Paris, une séance arbitrale  a été prononcée le 09 Juillet 2020, par la Cour Internationale d’Arbitrage de la Chambre de Commerce Internationale, qui a décidé dans son dispositif ce qui suit :</w:t>
      </w:r>
    </w:p>
    <w:p w:rsidR="000527D9" w:rsidRDefault="000527D9" w:rsidP="007862BB">
      <w:pPr>
        <w:ind w:left="217" w:right="283"/>
        <w:jc w:val="both"/>
        <w:rPr>
          <w:sz w:val="28"/>
          <w:szCs w:val="28"/>
        </w:rPr>
      </w:pPr>
    </w:p>
    <w:p w:rsidR="00382622" w:rsidRDefault="00382622" w:rsidP="003C00AA">
      <w:pPr>
        <w:pStyle w:val="Paragraphedeliste"/>
        <w:numPr>
          <w:ilvl w:val="0"/>
          <w:numId w:val="21"/>
        </w:numPr>
        <w:ind w:right="283"/>
        <w:jc w:val="both"/>
        <w:rPr>
          <w:sz w:val="28"/>
          <w:szCs w:val="28"/>
        </w:rPr>
      </w:pPr>
      <w:r>
        <w:rPr>
          <w:sz w:val="28"/>
          <w:szCs w:val="28"/>
        </w:rPr>
        <w:t>Que le montant dû en vertu de la situation N°01 de l’avenant N°10 et la situation N°2 de l’avenant N°10 s’élève à 343.019,36€.</w:t>
      </w:r>
    </w:p>
    <w:p w:rsidR="00382622" w:rsidRDefault="00382622" w:rsidP="003C00AA">
      <w:pPr>
        <w:pStyle w:val="Paragraphedeliste"/>
        <w:numPr>
          <w:ilvl w:val="0"/>
          <w:numId w:val="21"/>
        </w:numPr>
        <w:ind w:right="283"/>
        <w:jc w:val="both"/>
        <w:rPr>
          <w:sz w:val="28"/>
          <w:szCs w:val="28"/>
        </w:rPr>
      </w:pPr>
      <w:r>
        <w:rPr>
          <w:sz w:val="28"/>
          <w:szCs w:val="28"/>
        </w:rPr>
        <w:t>Sur le montant total dû, en vertu de la situation N°01 et de la situation N°02 de l’avenant N°10 de 343.019,36€ :</w:t>
      </w:r>
    </w:p>
    <w:p w:rsidR="00FA6FD4" w:rsidRDefault="00382622" w:rsidP="003C00AA">
      <w:pPr>
        <w:pStyle w:val="Paragraphedeliste"/>
        <w:numPr>
          <w:ilvl w:val="0"/>
          <w:numId w:val="22"/>
        </w:numPr>
        <w:ind w:right="283"/>
        <w:jc w:val="both"/>
        <w:rPr>
          <w:sz w:val="28"/>
          <w:szCs w:val="28"/>
        </w:rPr>
      </w:pPr>
      <w:r>
        <w:rPr>
          <w:sz w:val="28"/>
          <w:szCs w:val="28"/>
        </w:rPr>
        <w:t>Ordonne au défendeur de payer aux demandeurs la somme de 180.</w:t>
      </w:r>
      <w:r w:rsidR="00FA6FD4">
        <w:rPr>
          <w:sz w:val="28"/>
          <w:szCs w:val="28"/>
        </w:rPr>
        <w:t>923,32€ et dit que ce paiement doit intervenir sans intérêts.</w:t>
      </w:r>
    </w:p>
    <w:p w:rsidR="00382622" w:rsidRDefault="00FA6FD4" w:rsidP="003C00AA">
      <w:pPr>
        <w:pStyle w:val="Paragraphedeliste"/>
        <w:numPr>
          <w:ilvl w:val="0"/>
          <w:numId w:val="22"/>
        </w:numPr>
        <w:ind w:right="283"/>
        <w:jc w:val="both"/>
        <w:rPr>
          <w:sz w:val="28"/>
          <w:szCs w:val="28"/>
        </w:rPr>
      </w:pPr>
      <w:r>
        <w:rPr>
          <w:sz w:val="28"/>
          <w:szCs w:val="28"/>
        </w:rPr>
        <w:lastRenderedPageBreak/>
        <w:t xml:space="preserve">Dit qu’il ne peut ordonner au défendeur de payer aux demandeurs le solde restant dû, chiffré à 162.096,04€, faute de l’accomplissement des  formalités requises pour le </w:t>
      </w:r>
      <w:r w:rsidR="00AD388A">
        <w:rPr>
          <w:sz w:val="28"/>
          <w:szCs w:val="28"/>
        </w:rPr>
        <w:t>paiement.</w:t>
      </w:r>
    </w:p>
    <w:p w:rsidR="00FA6FD4" w:rsidRDefault="00AD388A" w:rsidP="003C00AA">
      <w:pPr>
        <w:pStyle w:val="Paragraphedeliste"/>
        <w:numPr>
          <w:ilvl w:val="0"/>
          <w:numId w:val="22"/>
        </w:numPr>
        <w:ind w:right="283"/>
        <w:jc w:val="both"/>
        <w:rPr>
          <w:sz w:val="28"/>
          <w:szCs w:val="28"/>
        </w:rPr>
      </w:pPr>
      <w:r>
        <w:rPr>
          <w:sz w:val="28"/>
          <w:szCs w:val="28"/>
        </w:rPr>
        <w:t>Ordonne au défendeur de rembourser aux demandeurs un montant de 173,00</w:t>
      </w:r>
      <w:r w:rsidR="00E21FA0">
        <w:rPr>
          <w:sz w:val="28"/>
          <w:szCs w:val="28"/>
        </w:rPr>
        <w:t xml:space="preserve"> </w:t>
      </w:r>
      <w:r>
        <w:rPr>
          <w:sz w:val="28"/>
          <w:szCs w:val="28"/>
        </w:rPr>
        <w:t>€</w:t>
      </w:r>
      <w:r w:rsidR="00E21FA0">
        <w:rPr>
          <w:sz w:val="28"/>
          <w:szCs w:val="28"/>
        </w:rPr>
        <w:t xml:space="preserve">, </w:t>
      </w:r>
      <w:r>
        <w:rPr>
          <w:sz w:val="28"/>
          <w:szCs w:val="28"/>
        </w:rPr>
        <w:t xml:space="preserve"> au titre de la contribution aux frais de l’audience.</w:t>
      </w:r>
    </w:p>
    <w:p w:rsidR="00AD388A" w:rsidRDefault="00AD388A" w:rsidP="003C00AA">
      <w:pPr>
        <w:pStyle w:val="Paragraphedeliste"/>
        <w:numPr>
          <w:ilvl w:val="0"/>
          <w:numId w:val="22"/>
        </w:numPr>
        <w:ind w:right="283"/>
        <w:jc w:val="both"/>
        <w:rPr>
          <w:sz w:val="28"/>
          <w:szCs w:val="28"/>
        </w:rPr>
      </w:pPr>
      <w:r>
        <w:rPr>
          <w:sz w:val="28"/>
          <w:szCs w:val="28"/>
        </w:rPr>
        <w:t>Rejette toutes les autres demandes des parties.</w:t>
      </w:r>
    </w:p>
    <w:p w:rsidR="00913D13" w:rsidRDefault="00913D13" w:rsidP="00913D13">
      <w:pPr>
        <w:pStyle w:val="Paragraphedeliste"/>
        <w:ind w:left="3365" w:right="283"/>
        <w:jc w:val="both"/>
        <w:rPr>
          <w:sz w:val="28"/>
          <w:szCs w:val="28"/>
        </w:rPr>
      </w:pPr>
    </w:p>
    <w:p w:rsidR="00913D13" w:rsidRDefault="00AD388A" w:rsidP="00913D13">
      <w:pPr>
        <w:ind w:right="283"/>
        <w:jc w:val="both"/>
        <w:rPr>
          <w:sz w:val="28"/>
          <w:szCs w:val="28"/>
        </w:rPr>
      </w:pPr>
      <w:r>
        <w:rPr>
          <w:sz w:val="28"/>
          <w:szCs w:val="28"/>
        </w:rPr>
        <w:t xml:space="preserve">                        En exécution de ce dispositif pour le paiement de la somme de 180.923,32€, la filiale a</w:t>
      </w:r>
      <w:r w:rsidR="00913D13">
        <w:rPr>
          <w:sz w:val="28"/>
          <w:szCs w:val="28"/>
        </w:rPr>
        <w:t xml:space="preserve">vait </w:t>
      </w:r>
      <w:r>
        <w:rPr>
          <w:sz w:val="28"/>
          <w:szCs w:val="28"/>
        </w:rPr>
        <w:t xml:space="preserve"> engagé des </w:t>
      </w:r>
      <w:r w:rsidR="00E21FA0">
        <w:rPr>
          <w:sz w:val="28"/>
          <w:szCs w:val="28"/>
        </w:rPr>
        <w:t xml:space="preserve">démarches, </w:t>
      </w:r>
      <w:r>
        <w:rPr>
          <w:sz w:val="28"/>
          <w:szCs w:val="28"/>
        </w:rPr>
        <w:t xml:space="preserve">dès le 15 Septembre 2020, </w:t>
      </w:r>
      <w:r w:rsidR="00913D13">
        <w:rPr>
          <w:sz w:val="28"/>
          <w:szCs w:val="28"/>
        </w:rPr>
        <w:t xml:space="preserve">auprès de la </w:t>
      </w:r>
      <w:r>
        <w:rPr>
          <w:sz w:val="28"/>
          <w:szCs w:val="28"/>
        </w:rPr>
        <w:t xml:space="preserve">banque </w:t>
      </w:r>
      <w:r w:rsidR="000527D9">
        <w:rPr>
          <w:sz w:val="28"/>
          <w:szCs w:val="28"/>
        </w:rPr>
        <w:t>primaire,</w:t>
      </w:r>
      <w:r w:rsidR="00913D13">
        <w:rPr>
          <w:sz w:val="28"/>
          <w:szCs w:val="28"/>
        </w:rPr>
        <w:t xml:space="preserve"> en l’occurrence le CPA </w:t>
      </w:r>
      <w:r>
        <w:rPr>
          <w:sz w:val="28"/>
          <w:szCs w:val="28"/>
        </w:rPr>
        <w:t xml:space="preserve"> et des juridictions algériennes compétentes en la matière</w:t>
      </w:r>
      <w:r w:rsidR="000527D9">
        <w:rPr>
          <w:sz w:val="28"/>
          <w:szCs w:val="28"/>
        </w:rPr>
        <w:t xml:space="preserve">, </w:t>
      </w:r>
      <w:r>
        <w:rPr>
          <w:sz w:val="28"/>
          <w:szCs w:val="28"/>
        </w:rPr>
        <w:t xml:space="preserve"> à l’effet d’obtenir u</w:t>
      </w:r>
      <w:r w:rsidR="00913D13">
        <w:rPr>
          <w:sz w:val="28"/>
          <w:szCs w:val="28"/>
        </w:rPr>
        <w:t xml:space="preserve">ne décision </w:t>
      </w:r>
      <w:r w:rsidR="000527D9">
        <w:rPr>
          <w:sz w:val="28"/>
          <w:szCs w:val="28"/>
        </w:rPr>
        <w:t>d’exéquatur,</w:t>
      </w:r>
      <w:r w:rsidR="00913D13">
        <w:rPr>
          <w:sz w:val="28"/>
          <w:szCs w:val="28"/>
        </w:rPr>
        <w:t xml:space="preserve"> obligatoire </w:t>
      </w:r>
      <w:r w:rsidR="0095510A">
        <w:rPr>
          <w:sz w:val="28"/>
          <w:szCs w:val="28"/>
        </w:rPr>
        <w:t xml:space="preserve"> pour le</w:t>
      </w:r>
      <w:r>
        <w:rPr>
          <w:sz w:val="28"/>
          <w:szCs w:val="28"/>
        </w:rPr>
        <w:t xml:space="preserve"> pai</w:t>
      </w:r>
      <w:r w:rsidR="000527D9">
        <w:rPr>
          <w:sz w:val="28"/>
          <w:szCs w:val="28"/>
        </w:rPr>
        <w:t xml:space="preserve">ement de la somme susvisée. </w:t>
      </w:r>
    </w:p>
    <w:p w:rsidR="00913D13" w:rsidRDefault="00913D13" w:rsidP="00913D13">
      <w:pPr>
        <w:ind w:right="283"/>
        <w:jc w:val="both"/>
        <w:rPr>
          <w:sz w:val="28"/>
          <w:szCs w:val="28"/>
        </w:rPr>
      </w:pPr>
    </w:p>
    <w:p w:rsidR="00913D13" w:rsidRDefault="00913D13" w:rsidP="00913D13">
      <w:pPr>
        <w:ind w:right="283"/>
        <w:jc w:val="both"/>
        <w:rPr>
          <w:sz w:val="28"/>
          <w:szCs w:val="28"/>
        </w:rPr>
      </w:pPr>
      <w:r>
        <w:rPr>
          <w:sz w:val="28"/>
          <w:szCs w:val="28"/>
        </w:rPr>
        <w:t xml:space="preserve">Le Président du Tribunal par ordonnance rendue le 08 Décembre 2020 a ordonné le paiement de la somme de 180.923,32€ effectué par virement bancaire en date du 17 Décembre 2020, incluant </w:t>
      </w:r>
      <w:r w:rsidR="000527D9">
        <w:rPr>
          <w:sz w:val="28"/>
          <w:szCs w:val="28"/>
        </w:rPr>
        <w:t xml:space="preserve">aussi </w:t>
      </w:r>
      <w:r>
        <w:rPr>
          <w:sz w:val="28"/>
          <w:szCs w:val="28"/>
        </w:rPr>
        <w:t>des frais d’audience de 173,00€.</w:t>
      </w:r>
    </w:p>
    <w:p w:rsidR="00913D13" w:rsidRDefault="00913D13" w:rsidP="00913D13">
      <w:pPr>
        <w:ind w:right="283"/>
        <w:jc w:val="both"/>
        <w:rPr>
          <w:sz w:val="28"/>
          <w:szCs w:val="28"/>
        </w:rPr>
      </w:pPr>
    </w:p>
    <w:p w:rsidR="00A27D9B" w:rsidRDefault="00F554DA" w:rsidP="00181308">
      <w:pPr>
        <w:ind w:right="283"/>
        <w:jc w:val="both"/>
        <w:rPr>
          <w:sz w:val="28"/>
          <w:szCs w:val="28"/>
        </w:rPr>
      </w:pPr>
      <w:r>
        <w:rPr>
          <w:sz w:val="28"/>
          <w:szCs w:val="28"/>
        </w:rPr>
        <w:t>Il subsiste à la date du 30 Juin 2022, selon le dispositif  résultant de  la séance arbitrale tenue le 9 Juillet 2019, un montant de 162.096,04€,  non réglé au Groupement KEF (Turquie), conditionné par la production d’une attestation de transfert délivrée par l’Administration Fiscale. Cette situation  mérite un retraitement  et un a</w:t>
      </w:r>
      <w:r w:rsidR="00E331C9">
        <w:rPr>
          <w:sz w:val="28"/>
          <w:szCs w:val="28"/>
        </w:rPr>
        <w:t>purement de l’avenant N°10 conclu avec le Groupement KEF (Turquie).</w:t>
      </w:r>
    </w:p>
    <w:p w:rsidR="00752990" w:rsidRPr="00D8040A" w:rsidRDefault="00752990" w:rsidP="00181308">
      <w:pPr>
        <w:ind w:right="283"/>
        <w:jc w:val="both"/>
        <w:rPr>
          <w:sz w:val="28"/>
          <w:szCs w:val="28"/>
        </w:rPr>
      </w:pPr>
    </w:p>
    <w:p w:rsidR="00592ED6" w:rsidRPr="00D8040A" w:rsidRDefault="007F6857" w:rsidP="00393FCC">
      <w:pPr>
        <w:pStyle w:val="Retraitcorpsdetexte"/>
        <w:ind w:left="360" w:right="283"/>
        <w:jc w:val="both"/>
        <w:rPr>
          <w:b/>
          <w:color w:val="0000FF"/>
          <w:u w:val="single"/>
        </w:rPr>
      </w:pPr>
      <w:r>
        <w:rPr>
          <w:b/>
          <w:color w:val="0000FF"/>
          <w:u w:val="single"/>
        </w:rPr>
        <w:t>1-5</w:t>
      </w:r>
      <w:r w:rsidR="00E21FA0">
        <w:rPr>
          <w:b/>
          <w:color w:val="0000FF"/>
          <w:u w:val="single"/>
        </w:rPr>
        <w:t xml:space="preserve">  </w:t>
      </w:r>
      <w:r w:rsidR="00592ED6" w:rsidRPr="00D8040A">
        <w:rPr>
          <w:b/>
          <w:color w:val="0000FF"/>
          <w:u w:val="single"/>
        </w:rPr>
        <w:t>Les immobilisations en cou</w:t>
      </w:r>
      <w:r w:rsidR="00856627" w:rsidRPr="00D8040A">
        <w:rPr>
          <w:b/>
          <w:color w:val="0000FF"/>
          <w:u w:val="single"/>
        </w:rPr>
        <w:t>rs relative</w:t>
      </w:r>
      <w:r w:rsidR="00592ED6" w:rsidRPr="00D8040A">
        <w:rPr>
          <w:b/>
          <w:color w:val="0000FF"/>
          <w:u w:val="single"/>
        </w:rPr>
        <w:t xml:space="preserve"> aux travaux de rénovation de l’unité hôtelière EL-</w:t>
      </w:r>
      <w:proofErr w:type="spellStart"/>
      <w:r w:rsidR="00592ED6" w:rsidRPr="00D8040A">
        <w:rPr>
          <w:b/>
          <w:color w:val="0000FF"/>
          <w:u w:val="single"/>
        </w:rPr>
        <w:t>Aurassi</w:t>
      </w:r>
      <w:proofErr w:type="spellEnd"/>
    </w:p>
    <w:p w:rsidR="00AC4646" w:rsidRPr="00D8040A" w:rsidRDefault="00AC4646" w:rsidP="00592ED6">
      <w:pPr>
        <w:pStyle w:val="Retraitcorpsdetexte"/>
        <w:ind w:left="0" w:right="283"/>
        <w:jc w:val="both"/>
        <w:rPr>
          <w:b/>
          <w:color w:val="0000FF"/>
          <w:u w:val="single"/>
        </w:rPr>
      </w:pPr>
    </w:p>
    <w:p w:rsidR="000527D9" w:rsidRPr="00B44FDD" w:rsidRDefault="00AC4646" w:rsidP="008A6429">
      <w:pPr>
        <w:ind w:left="217" w:right="283"/>
        <w:jc w:val="both"/>
        <w:rPr>
          <w:sz w:val="28"/>
          <w:szCs w:val="28"/>
        </w:rPr>
      </w:pPr>
      <w:r w:rsidRPr="00D8040A">
        <w:rPr>
          <w:sz w:val="28"/>
          <w:szCs w:val="28"/>
        </w:rPr>
        <w:t xml:space="preserve">A la date du </w:t>
      </w:r>
      <w:r w:rsidR="00F250AE">
        <w:rPr>
          <w:sz w:val="28"/>
          <w:szCs w:val="28"/>
        </w:rPr>
        <w:t>30 Juin 2</w:t>
      </w:r>
      <w:r w:rsidR="008A6429">
        <w:rPr>
          <w:sz w:val="28"/>
          <w:szCs w:val="28"/>
        </w:rPr>
        <w:t>022</w:t>
      </w:r>
      <w:r w:rsidRPr="00D8040A">
        <w:rPr>
          <w:sz w:val="28"/>
          <w:szCs w:val="28"/>
        </w:rPr>
        <w:t xml:space="preserve">, le compte d’immobilisations en </w:t>
      </w:r>
      <w:r w:rsidR="00143C88" w:rsidRPr="00D8040A">
        <w:rPr>
          <w:sz w:val="28"/>
          <w:szCs w:val="28"/>
        </w:rPr>
        <w:t>cours,</w:t>
      </w:r>
      <w:r w:rsidRPr="00D8040A">
        <w:rPr>
          <w:sz w:val="28"/>
          <w:szCs w:val="28"/>
        </w:rPr>
        <w:t xml:space="preserve"> à l’échelle de l’entité EL-</w:t>
      </w:r>
      <w:proofErr w:type="spellStart"/>
      <w:r w:rsidRPr="00D8040A">
        <w:rPr>
          <w:sz w:val="28"/>
          <w:szCs w:val="28"/>
        </w:rPr>
        <w:t>Aura</w:t>
      </w:r>
      <w:r w:rsidR="005674C9" w:rsidRPr="00D8040A">
        <w:rPr>
          <w:sz w:val="28"/>
          <w:szCs w:val="28"/>
        </w:rPr>
        <w:t>ssi</w:t>
      </w:r>
      <w:proofErr w:type="spellEnd"/>
      <w:r w:rsidR="005674C9" w:rsidRPr="00D8040A">
        <w:rPr>
          <w:sz w:val="28"/>
          <w:szCs w:val="28"/>
        </w:rPr>
        <w:t>, aff</w:t>
      </w:r>
      <w:r w:rsidR="000175C1" w:rsidRPr="00D8040A">
        <w:rPr>
          <w:sz w:val="28"/>
          <w:szCs w:val="28"/>
        </w:rPr>
        <w:t xml:space="preserve">iche un solde de </w:t>
      </w:r>
      <w:r w:rsidR="00FE0B3C">
        <w:rPr>
          <w:sz w:val="28"/>
          <w:szCs w:val="28"/>
        </w:rPr>
        <w:t>57</w:t>
      </w:r>
      <w:r w:rsidR="008A6429">
        <w:rPr>
          <w:sz w:val="28"/>
          <w:szCs w:val="28"/>
        </w:rPr>
        <w:t>,0</w:t>
      </w:r>
      <w:r w:rsidR="00E21FA0">
        <w:rPr>
          <w:sz w:val="28"/>
          <w:szCs w:val="28"/>
        </w:rPr>
        <w:t xml:space="preserve"> </w:t>
      </w:r>
      <w:r w:rsidR="00012214">
        <w:rPr>
          <w:sz w:val="28"/>
          <w:szCs w:val="28"/>
        </w:rPr>
        <w:t xml:space="preserve">Millions de DA. Ce solde  recouvre pour </w:t>
      </w:r>
      <w:r w:rsidR="00E21FA0">
        <w:rPr>
          <w:sz w:val="28"/>
          <w:szCs w:val="28"/>
        </w:rPr>
        <w:t xml:space="preserve">l’essentiel </w:t>
      </w:r>
      <w:r w:rsidR="008A6429">
        <w:rPr>
          <w:sz w:val="28"/>
          <w:szCs w:val="28"/>
        </w:rPr>
        <w:t xml:space="preserve">des </w:t>
      </w:r>
      <w:r w:rsidR="000527D9">
        <w:rPr>
          <w:sz w:val="28"/>
          <w:szCs w:val="28"/>
        </w:rPr>
        <w:t>opérations,</w:t>
      </w:r>
      <w:r w:rsidR="00012214">
        <w:rPr>
          <w:sz w:val="28"/>
          <w:szCs w:val="28"/>
        </w:rPr>
        <w:t xml:space="preserve"> l’une se rapportant à des frais d’études et de suivi du bureau IMM </w:t>
      </w:r>
      <w:r w:rsidR="000527D9">
        <w:rPr>
          <w:sz w:val="28"/>
          <w:szCs w:val="28"/>
        </w:rPr>
        <w:t>(Belgique</w:t>
      </w:r>
      <w:r w:rsidR="00012214">
        <w:rPr>
          <w:sz w:val="28"/>
          <w:szCs w:val="28"/>
        </w:rPr>
        <w:t>)</w:t>
      </w:r>
      <w:r w:rsidR="000527D9">
        <w:rPr>
          <w:sz w:val="28"/>
          <w:szCs w:val="28"/>
        </w:rPr>
        <w:t xml:space="preserve"> d’un montant de 47,0 Millions de DA </w:t>
      </w:r>
      <w:r w:rsidR="00012214">
        <w:rPr>
          <w:sz w:val="28"/>
          <w:szCs w:val="28"/>
        </w:rPr>
        <w:t xml:space="preserve"> et l’autre opération  représente un reliquat des frais liés au dossier </w:t>
      </w:r>
      <w:r w:rsidR="000527D9">
        <w:rPr>
          <w:sz w:val="28"/>
          <w:szCs w:val="28"/>
        </w:rPr>
        <w:t>DATALINK,</w:t>
      </w:r>
      <w:r w:rsidR="00E21FA0">
        <w:rPr>
          <w:sz w:val="28"/>
          <w:szCs w:val="28"/>
        </w:rPr>
        <w:t xml:space="preserve"> </w:t>
      </w:r>
      <w:r w:rsidR="000527D9">
        <w:rPr>
          <w:sz w:val="28"/>
          <w:szCs w:val="28"/>
        </w:rPr>
        <w:t>d’</w:t>
      </w:r>
      <w:r w:rsidR="00012214">
        <w:rPr>
          <w:sz w:val="28"/>
          <w:szCs w:val="28"/>
        </w:rPr>
        <w:t>un montant de 8,5 Millions de DA.</w:t>
      </w:r>
    </w:p>
    <w:p w:rsidR="000527D9" w:rsidRPr="00D8040A" w:rsidRDefault="000527D9" w:rsidP="00592ED6">
      <w:pPr>
        <w:pStyle w:val="Retraitcorpsdetexte"/>
        <w:ind w:left="0" w:right="283"/>
        <w:jc w:val="both"/>
        <w:rPr>
          <w:b/>
          <w:color w:val="0000FF"/>
          <w:u w:val="single"/>
        </w:rPr>
      </w:pPr>
    </w:p>
    <w:p w:rsidR="002E41DF" w:rsidRPr="00D8040A" w:rsidRDefault="007F6857" w:rsidP="00393FCC">
      <w:pPr>
        <w:pStyle w:val="Retraitcorpsdetexte"/>
        <w:ind w:left="360" w:right="283"/>
        <w:jc w:val="both"/>
        <w:rPr>
          <w:b/>
          <w:color w:val="0000FF"/>
          <w:u w:val="single"/>
        </w:rPr>
      </w:pPr>
      <w:r>
        <w:rPr>
          <w:b/>
          <w:color w:val="0000FF"/>
          <w:u w:val="single"/>
        </w:rPr>
        <w:t>1-6</w:t>
      </w:r>
      <w:r w:rsidR="00E21FA0">
        <w:rPr>
          <w:b/>
          <w:color w:val="0000FF"/>
          <w:u w:val="single"/>
        </w:rPr>
        <w:t xml:space="preserve"> </w:t>
      </w:r>
      <w:r w:rsidR="002E41DF" w:rsidRPr="00D8040A">
        <w:rPr>
          <w:b/>
          <w:color w:val="0000FF"/>
          <w:u w:val="single"/>
        </w:rPr>
        <w:t>Le programme de modernisation des unités du Sud :</w:t>
      </w:r>
    </w:p>
    <w:p w:rsidR="005674C9" w:rsidRPr="00D8040A" w:rsidRDefault="005674C9" w:rsidP="005674C9">
      <w:pPr>
        <w:pStyle w:val="Retraitcorpsdetexte"/>
        <w:ind w:right="283"/>
        <w:rPr>
          <w:b/>
          <w:color w:val="0000FF"/>
          <w:u w:val="single"/>
        </w:rPr>
      </w:pPr>
    </w:p>
    <w:p w:rsidR="005674C9" w:rsidRPr="00D8040A" w:rsidRDefault="00181308" w:rsidP="008A6429">
      <w:pPr>
        <w:ind w:left="360" w:right="283"/>
        <w:jc w:val="both"/>
        <w:rPr>
          <w:sz w:val="28"/>
          <w:szCs w:val="28"/>
        </w:rPr>
      </w:pPr>
      <w:r>
        <w:rPr>
          <w:sz w:val="28"/>
          <w:szCs w:val="28"/>
        </w:rPr>
        <w:t>Il convient de rappeler, qu</w:t>
      </w:r>
      <w:r w:rsidR="008A6429">
        <w:rPr>
          <w:sz w:val="28"/>
          <w:szCs w:val="28"/>
        </w:rPr>
        <w:t>e l</w:t>
      </w:r>
      <w:r w:rsidR="005674C9" w:rsidRPr="00D8040A">
        <w:rPr>
          <w:sz w:val="28"/>
          <w:szCs w:val="28"/>
        </w:rPr>
        <w:t xml:space="preserve">a part de l'enveloppe financière destinée au financement  des </w:t>
      </w:r>
      <w:r w:rsidR="005674C9" w:rsidRPr="00D8040A">
        <w:rPr>
          <w:b/>
          <w:sz w:val="28"/>
          <w:szCs w:val="28"/>
        </w:rPr>
        <w:t>trois (03) unités</w:t>
      </w:r>
      <w:r w:rsidR="005674C9" w:rsidRPr="00D8040A">
        <w:rPr>
          <w:sz w:val="28"/>
          <w:szCs w:val="28"/>
        </w:rPr>
        <w:t xml:space="preserve"> du sud relevant de la Chaine EL-</w:t>
      </w:r>
      <w:proofErr w:type="spellStart"/>
      <w:r w:rsidR="005674C9" w:rsidRPr="00D8040A">
        <w:rPr>
          <w:sz w:val="28"/>
          <w:szCs w:val="28"/>
        </w:rPr>
        <w:t>Aurassi</w:t>
      </w:r>
      <w:proofErr w:type="spellEnd"/>
      <w:r w:rsidR="00E21FA0">
        <w:rPr>
          <w:sz w:val="28"/>
          <w:szCs w:val="28"/>
        </w:rPr>
        <w:t xml:space="preserve"> </w:t>
      </w:r>
      <w:r>
        <w:rPr>
          <w:sz w:val="28"/>
          <w:szCs w:val="28"/>
        </w:rPr>
        <w:t>est</w:t>
      </w:r>
      <w:r w:rsidR="00E21FA0">
        <w:rPr>
          <w:sz w:val="28"/>
          <w:szCs w:val="28"/>
        </w:rPr>
        <w:t xml:space="preserve"> </w:t>
      </w:r>
      <w:r w:rsidR="005674C9" w:rsidRPr="00D8040A">
        <w:rPr>
          <w:sz w:val="28"/>
          <w:szCs w:val="28"/>
        </w:rPr>
        <w:t xml:space="preserve">de </w:t>
      </w:r>
      <w:r w:rsidR="005674C9" w:rsidRPr="00D8040A">
        <w:rPr>
          <w:b/>
          <w:sz w:val="28"/>
          <w:szCs w:val="28"/>
        </w:rPr>
        <w:t>1.938,2Millions de DA</w:t>
      </w:r>
      <w:r w:rsidR="005674C9" w:rsidRPr="00D8040A">
        <w:rPr>
          <w:sz w:val="28"/>
          <w:szCs w:val="28"/>
        </w:rPr>
        <w:t xml:space="preserve"> reparti</w:t>
      </w:r>
      <w:r>
        <w:rPr>
          <w:sz w:val="28"/>
          <w:szCs w:val="28"/>
        </w:rPr>
        <w:t>e</w:t>
      </w:r>
      <w:r w:rsidR="005674C9" w:rsidRPr="00D8040A">
        <w:rPr>
          <w:sz w:val="28"/>
          <w:szCs w:val="28"/>
        </w:rPr>
        <w:t xml:space="preserve"> comme suit:</w:t>
      </w:r>
    </w:p>
    <w:p w:rsidR="006D1973" w:rsidRPr="00D8040A" w:rsidRDefault="006D1973" w:rsidP="00E21FA0">
      <w:pPr>
        <w:ind w:right="283"/>
        <w:jc w:val="both"/>
        <w:rPr>
          <w:sz w:val="28"/>
          <w:szCs w:val="28"/>
        </w:rPr>
      </w:pPr>
    </w:p>
    <w:p w:rsidR="005674C9" w:rsidRPr="00D8040A" w:rsidRDefault="005674C9" w:rsidP="003C00AA">
      <w:pPr>
        <w:numPr>
          <w:ilvl w:val="0"/>
          <w:numId w:val="20"/>
        </w:numPr>
        <w:ind w:right="283"/>
        <w:jc w:val="both"/>
        <w:rPr>
          <w:sz w:val="28"/>
          <w:szCs w:val="28"/>
        </w:rPr>
      </w:pPr>
      <w:r w:rsidRPr="00D8040A">
        <w:rPr>
          <w:sz w:val="28"/>
          <w:szCs w:val="28"/>
        </w:rPr>
        <w:t xml:space="preserve">Unité </w:t>
      </w:r>
      <w:proofErr w:type="spellStart"/>
      <w:r w:rsidRPr="00D8040A">
        <w:rPr>
          <w:sz w:val="28"/>
          <w:szCs w:val="28"/>
        </w:rPr>
        <w:t>Boustène</w:t>
      </w:r>
      <w:proofErr w:type="spellEnd"/>
      <w:r w:rsidRPr="00D8040A">
        <w:rPr>
          <w:sz w:val="28"/>
          <w:szCs w:val="28"/>
        </w:rPr>
        <w:t xml:space="preserve"> de </w:t>
      </w:r>
      <w:proofErr w:type="spellStart"/>
      <w:r w:rsidRPr="00D8040A">
        <w:rPr>
          <w:sz w:val="28"/>
          <w:szCs w:val="28"/>
        </w:rPr>
        <w:t>Ménéa</w:t>
      </w:r>
      <w:proofErr w:type="spellEnd"/>
      <w:r w:rsidRPr="00D8040A">
        <w:rPr>
          <w:sz w:val="28"/>
          <w:szCs w:val="28"/>
        </w:rPr>
        <w:t xml:space="preserve">    563,6 Millions de DA</w:t>
      </w:r>
    </w:p>
    <w:p w:rsidR="005674C9" w:rsidRPr="00D8040A" w:rsidRDefault="005674C9" w:rsidP="003C00AA">
      <w:pPr>
        <w:numPr>
          <w:ilvl w:val="0"/>
          <w:numId w:val="20"/>
        </w:numPr>
        <w:ind w:right="283"/>
        <w:jc w:val="both"/>
        <w:rPr>
          <w:sz w:val="28"/>
          <w:szCs w:val="28"/>
        </w:rPr>
      </w:pPr>
      <w:r w:rsidRPr="00D8040A">
        <w:rPr>
          <w:sz w:val="28"/>
          <w:szCs w:val="28"/>
        </w:rPr>
        <w:t xml:space="preserve">Unité </w:t>
      </w:r>
      <w:proofErr w:type="spellStart"/>
      <w:r w:rsidRPr="00D8040A">
        <w:rPr>
          <w:sz w:val="28"/>
          <w:szCs w:val="28"/>
        </w:rPr>
        <w:t>Mehri</w:t>
      </w:r>
      <w:proofErr w:type="spellEnd"/>
      <w:r w:rsidRPr="00D8040A">
        <w:rPr>
          <w:sz w:val="28"/>
          <w:szCs w:val="28"/>
        </w:rPr>
        <w:t xml:space="preserve"> d'Ouargla         744,6 Millions de DA</w:t>
      </w:r>
    </w:p>
    <w:p w:rsidR="005674C9" w:rsidRPr="00D8040A" w:rsidRDefault="005674C9" w:rsidP="003C00AA">
      <w:pPr>
        <w:numPr>
          <w:ilvl w:val="0"/>
          <w:numId w:val="20"/>
        </w:numPr>
        <w:ind w:right="283"/>
        <w:jc w:val="both"/>
        <w:rPr>
          <w:sz w:val="28"/>
          <w:szCs w:val="28"/>
        </w:rPr>
      </w:pPr>
      <w:r w:rsidRPr="00D8040A">
        <w:rPr>
          <w:sz w:val="28"/>
          <w:szCs w:val="28"/>
        </w:rPr>
        <w:t xml:space="preserve">Unité  </w:t>
      </w:r>
      <w:proofErr w:type="spellStart"/>
      <w:r w:rsidRPr="00D8040A">
        <w:rPr>
          <w:sz w:val="28"/>
          <w:szCs w:val="28"/>
        </w:rPr>
        <w:t>Rym</w:t>
      </w:r>
      <w:proofErr w:type="spellEnd"/>
      <w:r w:rsidRPr="00D8040A">
        <w:rPr>
          <w:sz w:val="28"/>
          <w:szCs w:val="28"/>
        </w:rPr>
        <w:t xml:space="preserve"> de Béni-</w:t>
      </w:r>
      <w:r w:rsidR="00F250AE" w:rsidRPr="00D8040A">
        <w:rPr>
          <w:sz w:val="28"/>
          <w:szCs w:val="28"/>
        </w:rPr>
        <w:t>Abbés</w:t>
      </w:r>
      <w:r w:rsidRPr="00D8040A">
        <w:rPr>
          <w:sz w:val="28"/>
          <w:szCs w:val="28"/>
        </w:rPr>
        <w:t xml:space="preserve">  630,0 Millions de DA </w:t>
      </w:r>
    </w:p>
    <w:p w:rsidR="005674C9" w:rsidRPr="00D8040A" w:rsidRDefault="005674C9" w:rsidP="005674C9">
      <w:pPr>
        <w:ind w:right="283"/>
        <w:jc w:val="both"/>
        <w:rPr>
          <w:sz w:val="28"/>
          <w:szCs w:val="28"/>
        </w:rPr>
      </w:pPr>
    </w:p>
    <w:p w:rsidR="005674C9" w:rsidRPr="00D8040A" w:rsidRDefault="005674C9" w:rsidP="00181308">
      <w:pPr>
        <w:ind w:left="360" w:right="283"/>
        <w:jc w:val="both"/>
        <w:rPr>
          <w:sz w:val="28"/>
          <w:szCs w:val="28"/>
        </w:rPr>
      </w:pPr>
      <w:r w:rsidRPr="00D8040A">
        <w:rPr>
          <w:sz w:val="28"/>
          <w:szCs w:val="28"/>
        </w:rPr>
        <w:lastRenderedPageBreak/>
        <w:t xml:space="preserve">Les conditions de financement de ces opérations de rénovation </w:t>
      </w:r>
      <w:r w:rsidR="00181308">
        <w:rPr>
          <w:sz w:val="28"/>
          <w:szCs w:val="28"/>
        </w:rPr>
        <w:t xml:space="preserve">portent sur </w:t>
      </w:r>
      <w:r w:rsidRPr="00D8040A">
        <w:rPr>
          <w:sz w:val="28"/>
          <w:szCs w:val="28"/>
        </w:rPr>
        <w:t xml:space="preserve">une durée de  remboursement de 11 ans,  dont 7 ans de </w:t>
      </w:r>
      <w:r w:rsidR="00181308">
        <w:rPr>
          <w:sz w:val="28"/>
          <w:szCs w:val="28"/>
        </w:rPr>
        <w:t>différé et l’application d’un taux</w:t>
      </w:r>
      <w:r w:rsidRPr="00D8040A">
        <w:rPr>
          <w:sz w:val="28"/>
          <w:szCs w:val="28"/>
        </w:rPr>
        <w:t xml:space="preserve"> d’intérêt  bonifié de 3,5% l'an.</w:t>
      </w:r>
    </w:p>
    <w:p w:rsidR="005674C9" w:rsidRPr="00D8040A" w:rsidRDefault="005674C9" w:rsidP="005674C9">
      <w:pPr>
        <w:ind w:left="360" w:right="283"/>
        <w:jc w:val="both"/>
        <w:rPr>
          <w:sz w:val="28"/>
          <w:szCs w:val="28"/>
        </w:rPr>
      </w:pPr>
    </w:p>
    <w:p w:rsidR="005674C9" w:rsidRDefault="005674C9" w:rsidP="00181308">
      <w:pPr>
        <w:ind w:left="360" w:right="283"/>
        <w:jc w:val="both"/>
        <w:rPr>
          <w:sz w:val="28"/>
          <w:szCs w:val="28"/>
        </w:rPr>
      </w:pPr>
      <w:r w:rsidRPr="00D8040A">
        <w:rPr>
          <w:sz w:val="28"/>
          <w:szCs w:val="28"/>
        </w:rPr>
        <w:t>Pour l'unité El-</w:t>
      </w:r>
      <w:proofErr w:type="spellStart"/>
      <w:r w:rsidRPr="00D8040A">
        <w:rPr>
          <w:sz w:val="28"/>
          <w:szCs w:val="28"/>
        </w:rPr>
        <w:t>Boustène</w:t>
      </w:r>
      <w:proofErr w:type="spellEnd"/>
      <w:r w:rsidRPr="00D8040A">
        <w:rPr>
          <w:sz w:val="28"/>
          <w:szCs w:val="28"/>
        </w:rPr>
        <w:t xml:space="preserve"> de </w:t>
      </w:r>
      <w:proofErr w:type="spellStart"/>
      <w:r w:rsidRPr="00D8040A">
        <w:rPr>
          <w:sz w:val="28"/>
          <w:szCs w:val="28"/>
        </w:rPr>
        <w:t>Ménéa</w:t>
      </w:r>
      <w:proofErr w:type="spellEnd"/>
      <w:r w:rsidRPr="00D8040A">
        <w:rPr>
          <w:sz w:val="28"/>
          <w:szCs w:val="28"/>
        </w:rPr>
        <w:t>,  les travaux avaient été lancés en juin 201</w:t>
      </w:r>
      <w:r w:rsidR="00F250AE">
        <w:rPr>
          <w:sz w:val="28"/>
          <w:szCs w:val="28"/>
        </w:rPr>
        <w:t>3, le cout engagé  à</w:t>
      </w:r>
      <w:r w:rsidR="000527D9">
        <w:rPr>
          <w:sz w:val="28"/>
          <w:szCs w:val="28"/>
        </w:rPr>
        <w:t xml:space="preserve"> la date du 30 Juin </w:t>
      </w:r>
      <w:r w:rsidR="005B21D1">
        <w:rPr>
          <w:sz w:val="28"/>
          <w:szCs w:val="28"/>
        </w:rPr>
        <w:t xml:space="preserve"> 2020</w:t>
      </w:r>
      <w:r w:rsidRPr="00D8040A">
        <w:rPr>
          <w:sz w:val="28"/>
          <w:szCs w:val="28"/>
        </w:rPr>
        <w:t xml:space="preserve"> s'élève à</w:t>
      </w:r>
      <w:r w:rsidR="00E21FA0">
        <w:rPr>
          <w:sz w:val="28"/>
          <w:szCs w:val="28"/>
        </w:rPr>
        <w:t xml:space="preserve"> </w:t>
      </w:r>
      <w:r w:rsidR="00E54F91">
        <w:rPr>
          <w:b/>
          <w:sz w:val="28"/>
          <w:szCs w:val="28"/>
        </w:rPr>
        <w:t>964,8</w:t>
      </w:r>
      <w:r w:rsidR="00E21FA0">
        <w:rPr>
          <w:b/>
          <w:sz w:val="28"/>
          <w:szCs w:val="28"/>
        </w:rPr>
        <w:t xml:space="preserve"> </w:t>
      </w:r>
      <w:r w:rsidRPr="00D8040A">
        <w:rPr>
          <w:b/>
          <w:sz w:val="28"/>
          <w:szCs w:val="28"/>
        </w:rPr>
        <w:t xml:space="preserve">Millions de </w:t>
      </w:r>
      <w:r w:rsidR="00181308" w:rsidRPr="00D8040A">
        <w:rPr>
          <w:b/>
          <w:sz w:val="28"/>
          <w:szCs w:val="28"/>
        </w:rPr>
        <w:t>DA</w:t>
      </w:r>
      <w:r w:rsidR="00181308">
        <w:rPr>
          <w:sz w:val="28"/>
          <w:szCs w:val="28"/>
        </w:rPr>
        <w:t xml:space="preserve">, hors frais d’études et de suivi d’un montant de </w:t>
      </w:r>
      <w:r w:rsidR="003667DC" w:rsidRPr="003667DC">
        <w:rPr>
          <w:b/>
          <w:bCs/>
          <w:sz w:val="28"/>
          <w:szCs w:val="28"/>
        </w:rPr>
        <w:t>31,8 Millions de DA</w:t>
      </w:r>
      <w:r w:rsidR="00181308">
        <w:rPr>
          <w:b/>
          <w:bCs/>
          <w:sz w:val="28"/>
          <w:szCs w:val="28"/>
        </w:rPr>
        <w:t>.</w:t>
      </w:r>
    </w:p>
    <w:p w:rsidR="00F250AE" w:rsidRPr="00D8040A" w:rsidRDefault="00F250AE" w:rsidP="00F250AE">
      <w:pPr>
        <w:ind w:left="360" w:right="283"/>
        <w:jc w:val="both"/>
        <w:rPr>
          <w:sz w:val="28"/>
          <w:szCs w:val="28"/>
        </w:rPr>
      </w:pPr>
    </w:p>
    <w:p w:rsidR="00181308" w:rsidRDefault="00E21FA0" w:rsidP="005674C9">
      <w:pPr>
        <w:ind w:left="360" w:right="283"/>
        <w:jc w:val="both"/>
        <w:rPr>
          <w:sz w:val="28"/>
          <w:szCs w:val="28"/>
        </w:rPr>
      </w:pPr>
      <w:r>
        <w:rPr>
          <w:sz w:val="28"/>
          <w:szCs w:val="28"/>
        </w:rPr>
        <w:t xml:space="preserve">Il est indiqué, </w:t>
      </w:r>
      <w:r w:rsidR="00181308">
        <w:rPr>
          <w:sz w:val="28"/>
          <w:szCs w:val="28"/>
        </w:rPr>
        <w:t>que l’enveloppe globale a fait l’objet d’un aménagement de rubriques en date du 11 Septembre 2019, matérialisé par un avenant N°02 conclu avec le Trésor  Public.</w:t>
      </w:r>
      <w:r w:rsidR="009D78FA">
        <w:rPr>
          <w:sz w:val="28"/>
          <w:szCs w:val="28"/>
        </w:rPr>
        <w:t xml:space="preserve"> Il subsiste sur cette enveloppe un reliquat non utilisé d’un montant de 311,6 Millions de DA.</w:t>
      </w:r>
    </w:p>
    <w:p w:rsidR="009D78FA" w:rsidRDefault="009D78FA" w:rsidP="005674C9">
      <w:pPr>
        <w:ind w:left="360" w:right="283"/>
        <w:jc w:val="both"/>
        <w:rPr>
          <w:sz w:val="28"/>
          <w:szCs w:val="28"/>
        </w:rPr>
      </w:pPr>
    </w:p>
    <w:p w:rsidR="009D78FA" w:rsidRDefault="009D78FA" w:rsidP="005674C9">
      <w:pPr>
        <w:ind w:left="360" w:right="283"/>
        <w:jc w:val="both"/>
        <w:rPr>
          <w:sz w:val="28"/>
          <w:szCs w:val="28"/>
        </w:rPr>
      </w:pPr>
      <w:r>
        <w:rPr>
          <w:sz w:val="28"/>
          <w:szCs w:val="28"/>
        </w:rPr>
        <w:t>En termes de règlement de l’endettement détenu sur le Trésor Public, seule une échéance a été réglée en Mai 2018 d’un montant de 144,5 Millions de DA.</w:t>
      </w:r>
    </w:p>
    <w:p w:rsidR="009D78FA" w:rsidRDefault="009D78FA" w:rsidP="005674C9">
      <w:pPr>
        <w:ind w:left="360" w:right="283"/>
        <w:jc w:val="both"/>
        <w:rPr>
          <w:sz w:val="28"/>
          <w:szCs w:val="28"/>
        </w:rPr>
      </w:pPr>
    </w:p>
    <w:p w:rsidR="009D78FA" w:rsidRDefault="009D78FA" w:rsidP="005674C9">
      <w:pPr>
        <w:ind w:left="360" w:right="283"/>
        <w:jc w:val="both"/>
        <w:rPr>
          <w:sz w:val="28"/>
          <w:szCs w:val="28"/>
        </w:rPr>
      </w:pPr>
      <w:r>
        <w:rPr>
          <w:sz w:val="28"/>
          <w:szCs w:val="28"/>
        </w:rPr>
        <w:t>Avec la crise sanitaire qui prévaut dans notre pays depuis le mois de Mars 2020, une demande de rééchelonnement de l’ende</w:t>
      </w:r>
      <w:r w:rsidR="000527D9">
        <w:rPr>
          <w:sz w:val="28"/>
          <w:szCs w:val="28"/>
        </w:rPr>
        <w:t>ttement a été introduite à cette date,</w:t>
      </w:r>
      <w:r>
        <w:rPr>
          <w:sz w:val="28"/>
          <w:szCs w:val="28"/>
        </w:rPr>
        <w:t xml:space="preserve"> rappelée par divers courriers en 2021, dont le dernier en date remonte au 20 Octobre 2021.</w:t>
      </w:r>
    </w:p>
    <w:p w:rsidR="005674C9" w:rsidRPr="00D8040A" w:rsidRDefault="005674C9" w:rsidP="005674C9">
      <w:pPr>
        <w:ind w:right="283"/>
        <w:jc w:val="both"/>
        <w:rPr>
          <w:sz w:val="28"/>
          <w:szCs w:val="28"/>
        </w:rPr>
      </w:pPr>
    </w:p>
    <w:p w:rsidR="005674C9" w:rsidRPr="00D8040A" w:rsidRDefault="005674C9" w:rsidP="005674C9">
      <w:pPr>
        <w:ind w:left="360" w:right="283"/>
        <w:jc w:val="both"/>
        <w:rPr>
          <w:sz w:val="28"/>
          <w:szCs w:val="28"/>
        </w:rPr>
      </w:pPr>
      <w:r w:rsidRPr="00D8040A">
        <w:rPr>
          <w:sz w:val="28"/>
          <w:szCs w:val="28"/>
        </w:rPr>
        <w:t xml:space="preserve">Pour l’unité  </w:t>
      </w:r>
      <w:proofErr w:type="spellStart"/>
      <w:r w:rsidRPr="00D8040A">
        <w:rPr>
          <w:sz w:val="28"/>
          <w:szCs w:val="28"/>
        </w:rPr>
        <w:t>Mehri</w:t>
      </w:r>
      <w:proofErr w:type="spellEnd"/>
      <w:r w:rsidRPr="00D8040A">
        <w:rPr>
          <w:sz w:val="28"/>
          <w:szCs w:val="28"/>
        </w:rPr>
        <w:t xml:space="preserve"> d’Ouargla, les travaux de modernisation et de rénovation on</w:t>
      </w:r>
      <w:r w:rsidR="00F250AE">
        <w:rPr>
          <w:sz w:val="28"/>
          <w:szCs w:val="28"/>
        </w:rPr>
        <w:t>t</w:t>
      </w:r>
      <w:r w:rsidR="00E21FA0">
        <w:rPr>
          <w:sz w:val="28"/>
          <w:szCs w:val="28"/>
        </w:rPr>
        <w:t xml:space="preserve"> </w:t>
      </w:r>
      <w:r w:rsidR="002B77D4">
        <w:rPr>
          <w:sz w:val="28"/>
          <w:szCs w:val="28"/>
        </w:rPr>
        <w:t>porté</w:t>
      </w:r>
      <w:r w:rsidR="00E21FA0">
        <w:rPr>
          <w:sz w:val="28"/>
          <w:szCs w:val="28"/>
        </w:rPr>
        <w:t xml:space="preserve"> </w:t>
      </w:r>
      <w:r w:rsidRPr="00D8040A">
        <w:rPr>
          <w:sz w:val="28"/>
          <w:szCs w:val="28"/>
        </w:rPr>
        <w:t xml:space="preserve">sur la reprise des désordres relevés à l’appui d'une expertise diligentée par </w:t>
      </w:r>
      <w:r w:rsidR="00F250AE" w:rsidRPr="00D8040A">
        <w:rPr>
          <w:sz w:val="28"/>
          <w:szCs w:val="28"/>
        </w:rPr>
        <w:t>l’entreprise,</w:t>
      </w:r>
      <w:r w:rsidRPr="00D8040A">
        <w:rPr>
          <w:sz w:val="28"/>
          <w:szCs w:val="28"/>
        </w:rPr>
        <w:t xml:space="preserve"> portant sur l'aile</w:t>
      </w:r>
      <w:r w:rsidR="00AA3D68">
        <w:rPr>
          <w:sz w:val="28"/>
          <w:szCs w:val="28"/>
        </w:rPr>
        <w:t xml:space="preserve"> Pouillon</w:t>
      </w:r>
      <w:r w:rsidRPr="00D8040A">
        <w:rPr>
          <w:sz w:val="28"/>
          <w:szCs w:val="28"/>
        </w:rPr>
        <w:t xml:space="preserve"> rénovée par la Direction du Tourisme de la wilaya </w:t>
      </w:r>
      <w:r w:rsidR="00F250AE" w:rsidRPr="00D8040A">
        <w:rPr>
          <w:sz w:val="28"/>
          <w:szCs w:val="28"/>
        </w:rPr>
        <w:t>d’Ouargla,</w:t>
      </w:r>
      <w:r w:rsidRPr="00D8040A">
        <w:rPr>
          <w:sz w:val="28"/>
          <w:szCs w:val="28"/>
        </w:rPr>
        <w:t xml:space="preserve"> en concours définitif de l'Etat.</w:t>
      </w:r>
    </w:p>
    <w:p w:rsidR="005674C9" w:rsidRPr="00D8040A" w:rsidRDefault="005674C9" w:rsidP="005674C9">
      <w:pPr>
        <w:ind w:left="360" w:right="283"/>
        <w:jc w:val="both"/>
        <w:rPr>
          <w:sz w:val="28"/>
          <w:szCs w:val="28"/>
        </w:rPr>
      </w:pPr>
    </w:p>
    <w:p w:rsidR="005674C9" w:rsidRPr="00D8040A" w:rsidRDefault="005674C9" w:rsidP="005674C9">
      <w:pPr>
        <w:ind w:left="360" w:right="283"/>
        <w:jc w:val="both"/>
        <w:rPr>
          <w:sz w:val="28"/>
          <w:szCs w:val="28"/>
        </w:rPr>
      </w:pPr>
      <w:r w:rsidRPr="00D8040A">
        <w:rPr>
          <w:sz w:val="28"/>
          <w:szCs w:val="28"/>
        </w:rPr>
        <w:t>A ces travaux s’est ajouté  évidemment le rééquipement de cette aile en mobili</w:t>
      </w:r>
      <w:r w:rsidR="002B77D4">
        <w:rPr>
          <w:sz w:val="28"/>
          <w:szCs w:val="28"/>
        </w:rPr>
        <w:t xml:space="preserve">er, équipements et matériels réalisé </w:t>
      </w:r>
      <w:r w:rsidR="00574929" w:rsidRPr="00D8040A">
        <w:rPr>
          <w:sz w:val="28"/>
          <w:szCs w:val="28"/>
        </w:rPr>
        <w:t xml:space="preserve"> au moyen d'</w:t>
      </w:r>
      <w:r w:rsidRPr="00D8040A">
        <w:rPr>
          <w:sz w:val="28"/>
          <w:szCs w:val="28"/>
        </w:rPr>
        <w:t xml:space="preserve">avis d'appel d'offres et de contrats conclus, </w:t>
      </w:r>
      <w:r w:rsidR="00574929" w:rsidRPr="00D8040A">
        <w:rPr>
          <w:sz w:val="28"/>
          <w:szCs w:val="28"/>
        </w:rPr>
        <w:t>ave</w:t>
      </w:r>
      <w:r w:rsidR="002B77D4">
        <w:rPr>
          <w:sz w:val="28"/>
          <w:szCs w:val="28"/>
        </w:rPr>
        <w:t xml:space="preserve">c les soumissionnaires retenus, conformément à </w:t>
      </w:r>
      <w:r w:rsidR="000527D9">
        <w:rPr>
          <w:sz w:val="28"/>
          <w:szCs w:val="28"/>
        </w:rPr>
        <w:t xml:space="preserve">la </w:t>
      </w:r>
      <w:r w:rsidR="002B77D4">
        <w:rPr>
          <w:sz w:val="28"/>
          <w:szCs w:val="28"/>
        </w:rPr>
        <w:t>procédure interne validée par le Conseil d’administration en sa séance du 5 Novembre 2015.</w:t>
      </w:r>
    </w:p>
    <w:p w:rsidR="00F766BE" w:rsidRPr="00D8040A" w:rsidRDefault="00F766BE" w:rsidP="00F250AE">
      <w:pPr>
        <w:ind w:right="283"/>
        <w:jc w:val="both"/>
        <w:rPr>
          <w:sz w:val="28"/>
          <w:szCs w:val="28"/>
        </w:rPr>
      </w:pPr>
    </w:p>
    <w:p w:rsidR="005674C9" w:rsidRPr="00D8040A" w:rsidRDefault="00ED58C6" w:rsidP="002B77D4">
      <w:pPr>
        <w:ind w:left="360" w:right="283"/>
        <w:jc w:val="both"/>
        <w:rPr>
          <w:sz w:val="28"/>
          <w:szCs w:val="28"/>
        </w:rPr>
      </w:pPr>
      <w:r w:rsidRPr="00D8040A">
        <w:rPr>
          <w:sz w:val="28"/>
          <w:szCs w:val="28"/>
        </w:rPr>
        <w:t>Les couts engagés dans le cadre de ces travaux s’élèvent à</w:t>
      </w:r>
      <w:r w:rsidR="00E21FA0">
        <w:rPr>
          <w:sz w:val="28"/>
          <w:szCs w:val="28"/>
        </w:rPr>
        <w:t xml:space="preserve"> </w:t>
      </w:r>
      <w:r w:rsidR="00E54F91">
        <w:rPr>
          <w:b/>
          <w:sz w:val="28"/>
          <w:szCs w:val="28"/>
        </w:rPr>
        <w:t>407,9</w:t>
      </w:r>
      <w:r w:rsidRPr="00D8040A">
        <w:rPr>
          <w:b/>
          <w:sz w:val="28"/>
          <w:szCs w:val="28"/>
        </w:rPr>
        <w:t xml:space="preserve"> Millions de DA</w:t>
      </w:r>
      <w:r w:rsidR="003667DC">
        <w:rPr>
          <w:sz w:val="28"/>
          <w:szCs w:val="28"/>
        </w:rPr>
        <w:t xml:space="preserve"> financé</w:t>
      </w:r>
      <w:r w:rsidR="000527D9">
        <w:rPr>
          <w:sz w:val="28"/>
          <w:szCs w:val="28"/>
        </w:rPr>
        <w:t>s</w:t>
      </w:r>
      <w:r w:rsidR="003667DC">
        <w:rPr>
          <w:sz w:val="28"/>
          <w:szCs w:val="28"/>
        </w:rPr>
        <w:t xml:space="preserve"> totalement sur les fonds propres de la filiale. Le crédit non utilisé dans le cadre de cette </w:t>
      </w:r>
      <w:r w:rsidR="002B77D4">
        <w:rPr>
          <w:sz w:val="28"/>
          <w:szCs w:val="28"/>
        </w:rPr>
        <w:t xml:space="preserve">opération,  à l’issue d’un réaménagement de rubriques opéré le 11 Septembre 2019 </w:t>
      </w:r>
      <w:r w:rsidR="003667DC">
        <w:rPr>
          <w:sz w:val="28"/>
          <w:szCs w:val="28"/>
        </w:rPr>
        <w:t xml:space="preserve"> est de </w:t>
      </w:r>
      <w:r w:rsidR="003667DC" w:rsidRPr="003667DC">
        <w:rPr>
          <w:b/>
          <w:bCs/>
          <w:sz w:val="28"/>
          <w:szCs w:val="28"/>
        </w:rPr>
        <w:t>281,7 Millions de DA</w:t>
      </w:r>
      <w:r w:rsidR="002B77D4">
        <w:rPr>
          <w:sz w:val="28"/>
          <w:szCs w:val="28"/>
        </w:rPr>
        <w:t>.</w:t>
      </w:r>
    </w:p>
    <w:p w:rsidR="005674C9" w:rsidRPr="00D8040A" w:rsidRDefault="005674C9" w:rsidP="005674C9">
      <w:pPr>
        <w:ind w:left="360" w:right="283"/>
        <w:jc w:val="both"/>
        <w:rPr>
          <w:sz w:val="28"/>
          <w:szCs w:val="28"/>
        </w:rPr>
      </w:pPr>
    </w:p>
    <w:p w:rsidR="005674C9" w:rsidRPr="00D8040A" w:rsidRDefault="005674C9" w:rsidP="005674C9">
      <w:pPr>
        <w:ind w:left="360" w:right="283"/>
        <w:jc w:val="both"/>
        <w:rPr>
          <w:sz w:val="28"/>
          <w:szCs w:val="28"/>
        </w:rPr>
      </w:pPr>
      <w:r w:rsidRPr="00D8040A">
        <w:rPr>
          <w:sz w:val="28"/>
          <w:szCs w:val="28"/>
        </w:rPr>
        <w:t>Les fra</w:t>
      </w:r>
      <w:r w:rsidR="00F250AE">
        <w:rPr>
          <w:sz w:val="28"/>
          <w:szCs w:val="28"/>
        </w:rPr>
        <w:t>is d’études</w:t>
      </w:r>
      <w:r w:rsidR="002B77D4">
        <w:rPr>
          <w:sz w:val="28"/>
          <w:szCs w:val="28"/>
        </w:rPr>
        <w:t xml:space="preserve"> et de suivi </w:t>
      </w:r>
      <w:r w:rsidR="00F250AE">
        <w:rPr>
          <w:sz w:val="28"/>
          <w:szCs w:val="28"/>
        </w:rPr>
        <w:t xml:space="preserve"> réglés au  BET </w:t>
      </w:r>
      <w:proofErr w:type="spellStart"/>
      <w:r w:rsidR="00F250AE">
        <w:rPr>
          <w:sz w:val="28"/>
          <w:szCs w:val="28"/>
        </w:rPr>
        <w:t>Hachichi</w:t>
      </w:r>
      <w:proofErr w:type="spellEnd"/>
      <w:r w:rsidR="00E21FA0">
        <w:rPr>
          <w:sz w:val="28"/>
          <w:szCs w:val="28"/>
        </w:rPr>
        <w:t xml:space="preserve"> </w:t>
      </w:r>
      <w:proofErr w:type="spellStart"/>
      <w:r w:rsidR="00F250AE">
        <w:rPr>
          <w:sz w:val="28"/>
          <w:szCs w:val="28"/>
        </w:rPr>
        <w:t>Lyès</w:t>
      </w:r>
      <w:proofErr w:type="spellEnd"/>
      <w:r w:rsidR="00F250AE">
        <w:rPr>
          <w:sz w:val="28"/>
          <w:szCs w:val="28"/>
        </w:rPr>
        <w:t xml:space="preserve">  sont de</w:t>
      </w:r>
      <w:r w:rsidR="00E21FA0">
        <w:rPr>
          <w:sz w:val="28"/>
          <w:szCs w:val="28"/>
        </w:rPr>
        <w:t xml:space="preserve"> </w:t>
      </w:r>
      <w:r w:rsidR="00956EA9" w:rsidRPr="00D8040A">
        <w:rPr>
          <w:b/>
          <w:sz w:val="28"/>
          <w:szCs w:val="28"/>
        </w:rPr>
        <w:t>33,1</w:t>
      </w:r>
      <w:r w:rsidRPr="00D8040A">
        <w:rPr>
          <w:b/>
          <w:sz w:val="28"/>
          <w:szCs w:val="28"/>
        </w:rPr>
        <w:t>Millions de DA.</w:t>
      </w:r>
    </w:p>
    <w:p w:rsidR="005674C9" w:rsidRPr="00D8040A" w:rsidRDefault="005674C9" w:rsidP="005674C9">
      <w:pPr>
        <w:ind w:left="360" w:right="283"/>
        <w:jc w:val="both"/>
        <w:rPr>
          <w:sz w:val="28"/>
          <w:szCs w:val="28"/>
        </w:rPr>
      </w:pPr>
    </w:p>
    <w:p w:rsidR="00956EA9" w:rsidRDefault="005674C9" w:rsidP="002D2EF7">
      <w:pPr>
        <w:ind w:left="360" w:right="283"/>
        <w:jc w:val="both"/>
        <w:rPr>
          <w:sz w:val="28"/>
          <w:szCs w:val="28"/>
        </w:rPr>
      </w:pPr>
      <w:r w:rsidRPr="00D8040A">
        <w:rPr>
          <w:sz w:val="28"/>
          <w:szCs w:val="28"/>
        </w:rPr>
        <w:t>En ce qui concerne</w:t>
      </w:r>
      <w:r w:rsidR="002B77D4">
        <w:rPr>
          <w:sz w:val="28"/>
          <w:szCs w:val="28"/>
        </w:rPr>
        <w:t xml:space="preserve">, l’opération de rénovation et de modernisation de </w:t>
      </w:r>
      <w:r w:rsidRPr="00D8040A">
        <w:rPr>
          <w:sz w:val="28"/>
          <w:szCs w:val="28"/>
        </w:rPr>
        <w:t xml:space="preserve"> l’unité hôt</w:t>
      </w:r>
      <w:r w:rsidR="00F250AE">
        <w:rPr>
          <w:sz w:val="28"/>
          <w:szCs w:val="28"/>
        </w:rPr>
        <w:t xml:space="preserve">elière </w:t>
      </w:r>
      <w:proofErr w:type="spellStart"/>
      <w:r w:rsidR="00F250AE">
        <w:rPr>
          <w:sz w:val="28"/>
          <w:szCs w:val="28"/>
        </w:rPr>
        <w:t>Rym</w:t>
      </w:r>
      <w:proofErr w:type="spellEnd"/>
      <w:r w:rsidR="00F250AE">
        <w:rPr>
          <w:sz w:val="28"/>
          <w:szCs w:val="28"/>
        </w:rPr>
        <w:t xml:space="preserve"> de Béni-Abbés,</w:t>
      </w:r>
      <w:r w:rsidR="008A6429">
        <w:rPr>
          <w:sz w:val="28"/>
          <w:szCs w:val="28"/>
        </w:rPr>
        <w:t xml:space="preserve"> l</w:t>
      </w:r>
      <w:r w:rsidR="008A6429" w:rsidRPr="00D8040A">
        <w:rPr>
          <w:sz w:val="28"/>
          <w:szCs w:val="28"/>
        </w:rPr>
        <w:t>es travaux ont été lancés</w:t>
      </w:r>
      <w:r w:rsidR="008A6429">
        <w:rPr>
          <w:sz w:val="28"/>
          <w:szCs w:val="28"/>
        </w:rPr>
        <w:t xml:space="preserve"> par </w:t>
      </w:r>
      <w:r w:rsidR="008A6429" w:rsidRPr="00D8040A">
        <w:rPr>
          <w:b/>
          <w:sz w:val="28"/>
          <w:szCs w:val="28"/>
        </w:rPr>
        <w:t>la société Portugaise VIAMEC</w:t>
      </w:r>
      <w:r w:rsidR="008A6429" w:rsidRPr="00D8040A">
        <w:rPr>
          <w:sz w:val="28"/>
          <w:szCs w:val="28"/>
        </w:rPr>
        <w:t xml:space="preserve"> le 24 Mai 2016, date de mise en vigueur du contrat,</w:t>
      </w:r>
      <w:r w:rsidR="008A6429">
        <w:rPr>
          <w:sz w:val="28"/>
          <w:szCs w:val="28"/>
        </w:rPr>
        <w:t xml:space="preserve"> par </w:t>
      </w:r>
      <w:r w:rsidR="008A6429" w:rsidRPr="00D8040A">
        <w:rPr>
          <w:sz w:val="28"/>
          <w:szCs w:val="28"/>
        </w:rPr>
        <w:t>le paiement  de l'avance forfaitaire de 15% correspondant à un montant de</w:t>
      </w:r>
      <w:r w:rsidR="00E21FA0">
        <w:rPr>
          <w:sz w:val="28"/>
          <w:szCs w:val="28"/>
        </w:rPr>
        <w:t xml:space="preserve"> </w:t>
      </w:r>
      <w:r w:rsidR="008A6429" w:rsidRPr="00D8040A">
        <w:rPr>
          <w:b/>
          <w:sz w:val="28"/>
          <w:szCs w:val="28"/>
        </w:rPr>
        <w:t>159,5 Millions de DA</w:t>
      </w:r>
      <w:r w:rsidR="008A6429" w:rsidRPr="00D8040A">
        <w:rPr>
          <w:sz w:val="28"/>
          <w:szCs w:val="28"/>
        </w:rPr>
        <w:t>.</w:t>
      </w:r>
    </w:p>
    <w:p w:rsidR="002D2EF7" w:rsidRPr="00D8040A" w:rsidRDefault="002D2EF7" w:rsidP="002D2EF7">
      <w:pPr>
        <w:ind w:left="360" w:right="283"/>
        <w:jc w:val="both"/>
        <w:rPr>
          <w:sz w:val="28"/>
          <w:szCs w:val="28"/>
        </w:rPr>
      </w:pPr>
    </w:p>
    <w:p w:rsidR="00F250AE" w:rsidRDefault="00F250AE" w:rsidP="00CE0029">
      <w:pPr>
        <w:ind w:left="360" w:right="283"/>
        <w:jc w:val="both"/>
        <w:rPr>
          <w:sz w:val="28"/>
          <w:szCs w:val="28"/>
        </w:rPr>
      </w:pPr>
      <w:r>
        <w:rPr>
          <w:sz w:val="28"/>
          <w:szCs w:val="28"/>
        </w:rPr>
        <w:t xml:space="preserve">Un premier avenant a été signé le 27 Octobre 2016 portant </w:t>
      </w:r>
      <w:r w:rsidR="00CE0029" w:rsidRPr="00D8040A">
        <w:rPr>
          <w:sz w:val="28"/>
          <w:szCs w:val="28"/>
        </w:rPr>
        <w:t xml:space="preserve">essentiellement sur l’introduction à la demande de la société  VIAMEC d’une avance sur approvisionnement correspondant à 35% du montant de la fourniture soit </w:t>
      </w:r>
      <w:r w:rsidR="00CE0029" w:rsidRPr="00D8040A">
        <w:rPr>
          <w:b/>
          <w:sz w:val="28"/>
          <w:szCs w:val="28"/>
        </w:rPr>
        <w:lastRenderedPageBreak/>
        <w:t>2.487.643,41€</w:t>
      </w:r>
      <w:r w:rsidR="000527D9">
        <w:rPr>
          <w:b/>
          <w:sz w:val="28"/>
          <w:szCs w:val="28"/>
        </w:rPr>
        <w:t xml:space="preserve">, </w:t>
      </w:r>
      <w:r w:rsidR="000527D9">
        <w:rPr>
          <w:sz w:val="28"/>
          <w:szCs w:val="28"/>
        </w:rPr>
        <w:t xml:space="preserve"> p</w:t>
      </w:r>
      <w:r w:rsidR="00CE0029" w:rsidRPr="00D8040A">
        <w:rPr>
          <w:sz w:val="28"/>
          <w:szCs w:val="28"/>
        </w:rPr>
        <w:t>ayable contre mise en place d’une caution de restitution d’avance d’égal montant.</w:t>
      </w:r>
    </w:p>
    <w:p w:rsidR="00F250AE" w:rsidRDefault="00F250AE" w:rsidP="00CE0029">
      <w:pPr>
        <w:ind w:left="360" w:right="283"/>
        <w:jc w:val="both"/>
        <w:rPr>
          <w:sz w:val="28"/>
          <w:szCs w:val="28"/>
        </w:rPr>
      </w:pPr>
    </w:p>
    <w:p w:rsidR="00F250AE" w:rsidRDefault="00FA0E82" w:rsidP="00E54F91">
      <w:pPr>
        <w:ind w:left="360" w:right="283"/>
        <w:jc w:val="both"/>
        <w:rPr>
          <w:sz w:val="28"/>
          <w:szCs w:val="28"/>
        </w:rPr>
      </w:pPr>
      <w:r>
        <w:rPr>
          <w:sz w:val="28"/>
          <w:szCs w:val="28"/>
        </w:rPr>
        <w:t>S’en est suivi d’autres avenants</w:t>
      </w:r>
      <w:r w:rsidR="00F250AE">
        <w:rPr>
          <w:sz w:val="28"/>
          <w:szCs w:val="28"/>
        </w:rPr>
        <w:t xml:space="preserve"> conclus entre les parties, dont</w:t>
      </w:r>
      <w:r w:rsidR="00E54F91">
        <w:rPr>
          <w:sz w:val="28"/>
          <w:szCs w:val="28"/>
        </w:rPr>
        <w:t xml:space="preserve"> le dernier en date portant N°10 </w:t>
      </w:r>
      <w:r w:rsidR="00F250AE">
        <w:rPr>
          <w:sz w:val="28"/>
          <w:szCs w:val="28"/>
        </w:rPr>
        <w:t xml:space="preserve">a été signé le  </w:t>
      </w:r>
      <w:r w:rsidR="00E54F91">
        <w:rPr>
          <w:sz w:val="28"/>
          <w:szCs w:val="28"/>
        </w:rPr>
        <w:t xml:space="preserve">22 Septembre </w:t>
      </w:r>
      <w:r w:rsidR="00F250AE">
        <w:rPr>
          <w:sz w:val="28"/>
          <w:szCs w:val="28"/>
        </w:rPr>
        <w:t>2019. Le montant du contrat de base et de ses avenants successifs est de 11.393.520,71€ dont 5.786.215,86€ sont payables en dinars au cours de 126,00 DA, soit un montant de 729.063.198,36 DA.</w:t>
      </w:r>
    </w:p>
    <w:p w:rsidR="00137C6B" w:rsidRDefault="00137C6B" w:rsidP="00F250AE">
      <w:pPr>
        <w:ind w:right="283"/>
        <w:jc w:val="both"/>
        <w:rPr>
          <w:b/>
          <w:sz w:val="28"/>
          <w:szCs w:val="28"/>
        </w:rPr>
      </w:pPr>
    </w:p>
    <w:p w:rsidR="000A4AB7" w:rsidRDefault="00137C6B" w:rsidP="003667DC">
      <w:pPr>
        <w:ind w:left="360" w:right="283"/>
        <w:jc w:val="both"/>
        <w:rPr>
          <w:sz w:val="28"/>
          <w:szCs w:val="28"/>
        </w:rPr>
      </w:pPr>
      <w:r>
        <w:rPr>
          <w:sz w:val="28"/>
          <w:szCs w:val="28"/>
        </w:rPr>
        <w:t xml:space="preserve">Les couts engagés </w:t>
      </w:r>
      <w:r w:rsidR="00FA0E82">
        <w:rPr>
          <w:sz w:val="28"/>
          <w:szCs w:val="28"/>
        </w:rPr>
        <w:t>à la date du 30 Juin 2021</w:t>
      </w:r>
      <w:r w:rsidR="00E54F91">
        <w:rPr>
          <w:sz w:val="28"/>
          <w:szCs w:val="28"/>
        </w:rPr>
        <w:t xml:space="preserve">sont </w:t>
      </w:r>
      <w:r w:rsidR="000A4AB7" w:rsidRPr="003667DC">
        <w:rPr>
          <w:b/>
          <w:bCs/>
          <w:sz w:val="28"/>
          <w:szCs w:val="28"/>
        </w:rPr>
        <w:t>de 1.</w:t>
      </w:r>
      <w:r w:rsidR="00E54F91" w:rsidRPr="003667DC">
        <w:rPr>
          <w:b/>
          <w:bCs/>
          <w:sz w:val="28"/>
          <w:szCs w:val="28"/>
        </w:rPr>
        <w:t>544,6</w:t>
      </w:r>
      <w:r w:rsidR="000A4AB7" w:rsidRPr="003667DC">
        <w:rPr>
          <w:b/>
          <w:bCs/>
          <w:sz w:val="28"/>
          <w:szCs w:val="28"/>
        </w:rPr>
        <w:t xml:space="preserve"> Millions de DA dont</w:t>
      </w:r>
      <w:r w:rsidR="003667DC" w:rsidRPr="003667DC">
        <w:rPr>
          <w:b/>
          <w:bCs/>
          <w:sz w:val="28"/>
          <w:szCs w:val="28"/>
        </w:rPr>
        <w:t xml:space="preserve"> 982,6</w:t>
      </w:r>
      <w:r w:rsidR="000A4AB7" w:rsidRPr="003667DC">
        <w:rPr>
          <w:b/>
          <w:bCs/>
          <w:sz w:val="28"/>
          <w:szCs w:val="28"/>
        </w:rPr>
        <w:t xml:space="preserve"> Millions de DA </w:t>
      </w:r>
      <w:r w:rsidR="000A4AB7">
        <w:rPr>
          <w:sz w:val="28"/>
          <w:szCs w:val="28"/>
        </w:rPr>
        <w:t xml:space="preserve">financés sur les fonds propres de l’Entreprise. </w:t>
      </w:r>
    </w:p>
    <w:p w:rsidR="00FA0E82" w:rsidRDefault="00FA0E82" w:rsidP="003667DC">
      <w:pPr>
        <w:ind w:left="360" w:right="283"/>
        <w:jc w:val="both"/>
        <w:rPr>
          <w:sz w:val="28"/>
          <w:szCs w:val="28"/>
        </w:rPr>
      </w:pPr>
    </w:p>
    <w:p w:rsidR="000A4AB7" w:rsidRDefault="000A4AB7" w:rsidP="00E54F91">
      <w:pPr>
        <w:ind w:left="360" w:right="283"/>
        <w:jc w:val="both"/>
        <w:rPr>
          <w:sz w:val="28"/>
          <w:szCs w:val="28"/>
        </w:rPr>
      </w:pPr>
      <w:r>
        <w:rPr>
          <w:sz w:val="28"/>
          <w:szCs w:val="28"/>
        </w:rPr>
        <w:t>Sur cette base, il reste sur l’enveloppe financée</w:t>
      </w:r>
      <w:r w:rsidR="00FA0E82">
        <w:rPr>
          <w:sz w:val="28"/>
          <w:szCs w:val="28"/>
        </w:rPr>
        <w:t xml:space="preserve"> à hauteur d’un montant de 622 Millions de DA </w:t>
      </w:r>
      <w:r>
        <w:rPr>
          <w:sz w:val="28"/>
          <w:szCs w:val="28"/>
        </w:rPr>
        <w:t xml:space="preserve"> par le CPA</w:t>
      </w:r>
      <w:r w:rsidR="00FA0E82">
        <w:rPr>
          <w:sz w:val="28"/>
          <w:szCs w:val="28"/>
        </w:rPr>
        <w:t xml:space="preserve">, </w:t>
      </w:r>
      <w:r w:rsidRPr="003667DC">
        <w:rPr>
          <w:b/>
          <w:bCs/>
          <w:sz w:val="28"/>
          <w:szCs w:val="28"/>
        </w:rPr>
        <w:t>un montant de</w:t>
      </w:r>
      <w:r w:rsidR="00E54F91" w:rsidRPr="003667DC">
        <w:rPr>
          <w:b/>
          <w:bCs/>
          <w:sz w:val="28"/>
          <w:szCs w:val="28"/>
        </w:rPr>
        <w:t xml:space="preserve"> 29,</w:t>
      </w:r>
      <w:r w:rsidR="00FA0E82">
        <w:rPr>
          <w:b/>
          <w:bCs/>
          <w:sz w:val="28"/>
          <w:szCs w:val="28"/>
        </w:rPr>
        <w:t>9</w:t>
      </w:r>
      <w:r w:rsidR="00E21FA0">
        <w:rPr>
          <w:b/>
          <w:bCs/>
          <w:sz w:val="28"/>
          <w:szCs w:val="28"/>
        </w:rPr>
        <w:t xml:space="preserve"> </w:t>
      </w:r>
      <w:r w:rsidRPr="003667DC">
        <w:rPr>
          <w:b/>
          <w:bCs/>
          <w:sz w:val="28"/>
          <w:szCs w:val="28"/>
        </w:rPr>
        <w:t>Million</w:t>
      </w:r>
      <w:r w:rsidR="00E54F91" w:rsidRPr="003667DC">
        <w:rPr>
          <w:b/>
          <w:bCs/>
          <w:sz w:val="28"/>
          <w:szCs w:val="28"/>
        </w:rPr>
        <w:t>s de DA</w:t>
      </w:r>
      <w:r>
        <w:rPr>
          <w:sz w:val="28"/>
          <w:szCs w:val="28"/>
        </w:rPr>
        <w:t xml:space="preserve"> au titre des études et suivi.</w:t>
      </w:r>
    </w:p>
    <w:p w:rsidR="008C3DDA" w:rsidRDefault="008C3DDA" w:rsidP="00137C6B">
      <w:pPr>
        <w:ind w:left="360" w:right="283"/>
        <w:jc w:val="both"/>
        <w:rPr>
          <w:sz w:val="28"/>
          <w:szCs w:val="28"/>
        </w:rPr>
      </w:pPr>
    </w:p>
    <w:p w:rsidR="000527D9" w:rsidRDefault="008C3DDA" w:rsidP="000527D9">
      <w:pPr>
        <w:ind w:left="360" w:right="283"/>
        <w:jc w:val="both"/>
        <w:rPr>
          <w:sz w:val="28"/>
          <w:szCs w:val="28"/>
        </w:rPr>
      </w:pPr>
      <w:r>
        <w:rPr>
          <w:sz w:val="28"/>
          <w:szCs w:val="28"/>
        </w:rPr>
        <w:t>La réception provisoire des travaux</w:t>
      </w:r>
      <w:r w:rsidR="003667DC">
        <w:rPr>
          <w:sz w:val="28"/>
          <w:szCs w:val="28"/>
        </w:rPr>
        <w:t xml:space="preserve"> et fournitures a été prononcée</w:t>
      </w:r>
      <w:r>
        <w:rPr>
          <w:sz w:val="28"/>
          <w:szCs w:val="28"/>
        </w:rPr>
        <w:t xml:space="preserve"> le 30 Juin 2019, laissant apparaitre </w:t>
      </w:r>
      <w:r w:rsidR="003667DC">
        <w:rPr>
          <w:sz w:val="28"/>
          <w:szCs w:val="28"/>
        </w:rPr>
        <w:t xml:space="preserve">jusqu’à ce jour </w:t>
      </w:r>
      <w:r>
        <w:rPr>
          <w:sz w:val="28"/>
          <w:szCs w:val="28"/>
        </w:rPr>
        <w:t>des réserves, que l’entreprise de réalisa</w:t>
      </w:r>
      <w:r w:rsidR="003667DC">
        <w:rPr>
          <w:sz w:val="28"/>
          <w:szCs w:val="28"/>
        </w:rPr>
        <w:t>tion ne semble pas vouloir lever, malgré nos différents échanges de courrier</w:t>
      </w:r>
      <w:r w:rsidR="000527D9">
        <w:rPr>
          <w:sz w:val="28"/>
          <w:szCs w:val="28"/>
        </w:rPr>
        <w:t>s.</w:t>
      </w:r>
    </w:p>
    <w:p w:rsidR="00FA0E82" w:rsidRDefault="00FA0E82" w:rsidP="00137C6B">
      <w:pPr>
        <w:ind w:left="360" w:right="283"/>
        <w:jc w:val="both"/>
        <w:rPr>
          <w:sz w:val="28"/>
          <w:szCs w:val="28"/>
        </w:rPr>
      </w:pPr>
    </w:p>
    <w:p w:rsidR="00FA0E82" w:rsidRDefault="00FA0E82" w:rsidP="00137C6B">
      <w:pPr>
        <w:ind w:left="360" w:right="283"/>
        <w:jc w:val="both"/>
        <w:rPr>
          <w:sz w:val="28"/>
          <w:szCs w:val="28"/>
        </w:rPr>
      </w:pPr>
      <w:r>
        <w:rPr>
          <w:sz w:val="28"/>
          <w:szCs w:val="28"/>
        </w:rPr>
        <w:t>Conformément au procès-verbal de réception provisoire sus visé, l’entreprise de réalisation disposait d’un délai arrêté en commun accord de soixante (60) jours pour lever toutes les réserves au nombre de 79. L’engagement pris en la matière n’a pu être respecté,  malgré plusieurs relances et mises en demeure adressées à l’entreprise.</w:t>
      </w:r>
    </w:p>
    <w:p w:rsidR="000B19DC" w:rsidRDefault="000B19DC" w:rsidP="00137C6B">
      <w:pPr>
        <w:ind w:left="360" w:right="283"/>
        <w:jc w:val="both"/>
        <w:rPr>
          <w:sz w:val="28"/>
          <w:szCs w:val="28"/>
        </w:rPr>
      </w:pPr>
    </w:p>
    <w:p w:rsidR="000B19DC" w:rsidRDefault="000B19DC" w:rsidP="00137C6B">
      <w:pPr>
        <w:ind w:left="360" w:right="283"/>
        <w:jc w:val="both"/>
        <w:rPr>
          <w:sz w:val="28"/>
          <w:szCs w:val="28"/>
        </w:rPr>
      </w:pPr>
      <w:r>
        <w:rPr>
          <w:sz w:val="28"/>
          <w:szCs w:val="28"/>
        </w:rPr>
        <w:t xml:space="preserve">Devant </w:t>
      </w:r>
      <w:r w:rsidR="000527D9">
        <w:rPr>
          <w:sz w:val="28"/>
          <w:szCs w:val="28"/>
        </w:rPr>
        <w:t>l’</w:t>
      </w:r>
      <w:r>
        <w:rPr>
          <w:sz w:val="28"/>
          <w:szCs w:val="28"/>
        </w:rPr>
        <w:t>absence caractérisée de réactivité, le Maitre de l’Ouvrage a été contraint de cesser tout paiement et d’user de la mise en jeu de la garantie de bonne exécution d’un montant de 569.676,04€</w:t>
      </w:r>
      <w:r w:rsidR="000527D9">
        <w:rPr>
          <w:sz w:val="28"/>
          <w:szCs w:val="28"/>
        </w:rPr>
        <w:t xml:space="preserve"> introduite le  15 Juin 2020 et </w:t>
      </w:r>
      <w:r>
        <w:rPr>
          <w:sz w:val="28"/>
          <w:szCs w:val="28"/>
        </w:rPr>
        <w:t xml:space="preserve"> concrétisée le 31 Décembre 2020.</w:t>
      </w:r>
    </w:p>
    <w:p w:rsidR="000B19DC" w:rsidRDefault="000B19DC" w:rsidP="00137C6B">
      <w:pPr>
        <w:ind w:left="360" w:right="283"/>
        <w:jc w:val="both"/>
        <w:rPr>
          <w:sz w:val="28"/>
          <w:szCs w:val="28"/>
        </w:rPr>
      </w:pPr>
    </w:p>
    <w:p w:rsidR="000B19DC" w:rsidRDefault="000B19DC" w:rsidP="00B64FC9">
      <w:pPr>
        <w:ind w:left="360" w:right="283"/>
        <w:jc w:val="both"/>
        <w:rPr>
          <w:sz w:val="28"/>
          <w:szCs w:val="28"/>
        </w:rPr>
      </w:pPr>
      <w:r>
        <w:rPr>
          <w:sz w:val="28"/>
          <w:szCs w:val="28"/>
        </w:rPr>
        <w:t xml:space="preserve">L’entreprise de réalisation a porté </w:t>
      </w:r>
      <w:r w:rsidR="00B64FC9">
        <w:rPr>
          <w:sz w:val="28"/>
          <w:szCs w:val="28"/>
        </w:rPr>
        <w:t xml:space="preserve">durant l’exercice 2021  </w:t>
      </w:r>
      <w:r>
        <w:rPr>
          <w:sz w:val="28"/>
          <w:szCs w:val="28"/>
        </w:rPr>
        <w:t>le litige, en référé  devant le tribunal</w:t>
      </w:r>
      <w:r w:rsidR="00B64FC9">
        <w:rPr>
          <w:sz w:val="28"/>
          <w:szCs w:val="28"/>
        </w:rPr>
        <w:t xml:space="preserve"> d’Alger qui a tranché en faveur du Maitre de l’ouvrage, jugement confirmé en appel devant la Cour d’Alger.</w:t>
      </w:r>
    </w:p>
    <w:p w:rsidR="00B64FC9" w:rsidRDefault="00B64FC9" w:rsidP="00B64FC9">
      <w:pPr>
        <w:ind w:left="360" w:right="283"/>
        <w:jc w:val="both"/>
        <w:rPr>
          <w:sz w:val="28"/>
          <w:szCs w:val="28"/>
        </w:rPr>
      </w:pPr>
    </w:p>
    <w:p w:rsidR="00B64FC9" w:rsidRDefault="00B64FC9" w:rsidP="00B64FC9">
      <w:pPr>
        <w:ind w:left="360" w:right="283"/>
        <w:jc w:val="both"/>
        <w:rPr>
          <w:sz w:val="28"/>
          <w:szCs w:val="28"/>
        </w:rPr>
      </w:pPr>
      <w:r>
        <w:rPr>
          <w:sz w:val="28"/>
          <w:szCs w:val="28"/>
        </w:rPr>
        <w:t xml:space="preserve">D’autres actions ont été engagées en 2021, par l’entreprise de réalisation, notamment </w:t>
      </w:r>
      <w:r w:rsidR="00C143D3">
        <w:rPr>
          <w:sz w:val="28"/>
          <w:szCs w:val="28"/>
        </w:rPr>
        <w:t xml:space="preserve">pour la réclamation des </w:t>
      </w:r>
      <w:r>
        <w:rPr>
          <w:sz w:val="28"/>
          <w:szCs w:val="28"/>
        </w:rPr>
        <w:t>indemnités compensatrices</w:t>
      </w:r>
      <w:r w:rsidR="00C143D3">
        <w:rPr>
          <w:sz w:val="28"/>
          <w:szCs w:val="28"/>
        </w:rPr>
        <w:t>, qui seraient en rapport avec les</w:t>
      </w:r>
      <w:r>
        <w:rPr>
          <w:sz w:val="28"/>
          <w:szCs w:val="28"/>
        </w:rPr>
        <w:t xml:space="preserve"> travaux supplémentaires réalisés et matérialisés par des avenants conclus entre les parties.</w:t>
      </w:r>
    </w:p>
    <w:p w:rsidR="001655C7" w:rsidRDefault="001655C7" w:rsidP="00B64FC9">
      <w:pPr>
        <w:ind w:left="360" w:right="283"/>
        <w:jc w:val="both"/>
        <w:rPr>
          <w:sz w:val="28"/>
          <w:szCs w:val="28"/>
        </w:rPr>
      </w:pPr>
    </w:p>
    <w:p w:rsidR="002D2EF7" w:rsidRDefault="002D2EF7" w:rsidP="002D2EF7">
      <w:pPr>
        <w:ind w:left="360" w:right="283"/>
        <w:jc w:val="both"/>
        <w:rPr>
          <w:sz w:val="28"/>
          <w:szCs w:val="28"/>
        </w:rPr>
      </w:pPr>
      <w:r>
        <w:rPr>
          <w:sz w:val="28"/>
          <w:szCs w:val="28"/>
        </w:rPr>
        <w:t>P</w:t>
      </w:r>
      <w:r w:rsidR="00C143D3" w:rsidRPr="00C143D3">
        <w:rPr>
          <w:sz w:val="28"/>
          <w:szCs w:val="28"/>
        </w:rPr>
        <w:t xml:space="preserve">ar arrêt rendu le 27 Octobre 2021, </w:t>
      </w:r>
      <w:r>
        <w:rPr>
          <w:sz w:val="28"/>
          <w:szCs w:val="28"/>
        </w:rPr>
        <w:t>p</w:t>
      </w:r>
      <w:r w:rsidR="001655C7" w:rsidRPr="00C143D3">
        <w:rPr>
          <w:sz w:val="28"/>
          <w:szCs w:val="28"/>
        </w:rPr>
        <w:t xml:space="preserve">ar </w:t>
      </w:r>
      <w:r w:rsidR="00C143D3">
        <w:rPr>
          <w:sz w:val="28"/>
          <w:szCs w:val="28"/>
        </w:rPr>
        <w:t xml:space="preserve">la Cour d’Alger, suite à l’appel formulé par la Société VAIMEC,  à la décision  </w:t>
      </w:r>
      <w:r w:rsidR="001655C7" w:rsidRPr="00C143D3">
        <w:rPr>
          <w:sz w:val="28"/>
          <w:szCs w:val="28"/>
        </w:rPr>
        <w:t>d</w:t>
      </w:r>
      <w:r w:rsidR="00C143D3">
        <w:rPr>
          <w:sz w:val="28"/>
          <w:szCs w:val="28"/>
        </w:rPr>
        <w:t xml:space="preserve">u Tribunal de Commerce </w:t>
      </w:r>
      <w:r>
        <w:rPr>
          <w:sz w:val="28"/>
          <w:szCs w:val="28"/>
        </w:rPr>
        <w:t>d’Alger</w:t>
      </w:r>
      <w:r w:rsidRPr="00C143D3">
        <w:rPr>
          <w:sz w:val="28"/>
          <w:szCs w:val="28"/>
        </w:rPr>
        <w:t>,</w:t>
      </w:r>
      <w:r w:rsidR="001655C7" w:rsidRPr="00C143D3">
        <w:rPr>
          <w:sz w:val="28"/>
          <w:szCs w:val="28"/>
        </w:rPr>
        <w:t xml:space="preserve">un expert judiciaire a été désigné, en la personne de Monsieur AMOUR </w:t>
      </w:r>
      <w:proofErr w:type="spellStart"/>
      <w:r w:rsidR="001655C7" w:rsidRPr="00C143D3">
        <w:rPr>
          <w:sz w:val="28"/>
          <w:szCs w:val="28"/>
        </w:rPr>
        <w:t>Smail</w:t>
      </w:r>
      <w:proofErr w:type="spellEnd"/>
      <w:r w:rsidR="00E21FA0">
        <w:rPr>
          <w:sz w:val="28"/>
          <w:szCs w:val="28"/>
        </w:rPr>
        <w:t xml:space="preserve"> </w:t>
      </w:r>
      <w:r w:rsidR="00C143D3">
        <w:rPr>
          <w:sz w:val="28"/>
          <w:szCs w:val="28"/>
        </w:rPr>
        <w:t>avec pour mission</w:t>
      </w:r>
      <w:r w:rsidR="00E21FA0">
        <w:rPr>
          <w:sz w:val="28"/>
          <w:szCs w:val="28"/>
        </w:rPr>
        <w:t xml:space="preserve"> </w:t>
      </w:r>
      <w:r w:rsidR="00C143D3">
        <w:rPr>
          <w:sz w:val="28"/>
          <w:szCs w:val="28"/>
        </w:rPr>
        <w:t xml:space="preserve">de convoquer et d’entendre les parties au procès, de recevoir de chacune d’elles les documents </w:t>
      </w:r>
      <w:r>
        <w:rPr>
          <w:sz w:val="28"/>
          <w:szCs w:val="28"/>
        </w:rPr>
        <w:t xml:space="preserve">relatifs au litige, à savoir le </w:t>
      </w:r>
      <w:r w:rsidR="00C143D3">
        <w:rPr>
          <w:sz w:val="28"/>
          <w:szCs w:val="28"/>
        </w:rPr>
        <w:t xml:space="preserve"> contrat conclu le 31 Janvier 2016, </w:t>
      </w:r>
      <w:r>
        <w:rPr>
          <w:sz w:val="28"/>
          <w:szCs w:val="28"/>
        </w:rPr>
        <w:t xml:space="preserve">le </w:t>
      </w:r>
      <w:r w:rsidR="00041C34">
        <w:rPr>
          <w:sz w:val="28"/>
          <w:szCs w:val="28"/>
        </w:rPr>
        <w:t>procès-verbal</w:t>
      </w:r>
      <w:r w:rsidR="00C143D3">
        <w:rPr>
          <w:sz w:val="28"/>
          <w:szCs w:val="28"/>
        </w:rPr>
        <w:t xml:space="preserve"> de réception provisoire dressé le 30 Juin 2019 et les différents échanges de courriers entre les deux parties.</w:t>
      </w:r>
    </w:p>
    <w:p w:rsidR="002D2EF7" w:rsidRDefault="002D2EF7" w:rsidP="002D2EF7">
      <w:pPr>
        <w:ind w:left="360" w:right="283"/>
        <w:jc w:val="both"/>
        <w:rPr>
          <w:sz w:val="28"/>
          <w:szCs w:val="28"/>
        </w:rPr>
      </w:pPr>
    </w:p>
    <w:p w:rsidR="00D65B08" w:rsidRDefault="00C143D3" w:rsidP="00D65B08">
      <w:pPr>
        <w:ind w:left="360" w:right="283"/>
        <w:jc w:val="both"/>
        <w:rPr>
          <w:sz w:val="28"/>
          <w:szCs w:val="28"/>
        </w:rPr>
      </w:pPr>
      <w:r>
        <w:rPr>
          <w:sz w:val="28"/>
          <w:szCs w:val="28"/>
        </w:rPr>
        <w:lastRenderedPageBreak/>
        <w:t xml:space="preserve"> L’expert a pour mission également de se rendre sur les lieux, en présence des parties et de vérifier sur le plan physique, l’état des réserves non levées. Cette mission a été  sanctionnée par un  rapport écrit et détaillé établi par l’expert, Mr AMOUR </w:t>
      </w:r>
      <w:proofErr w:type="spellStart"/>
      <w:r>
        <w:rPr>
          <w:sz w:val="28"/>
          <w:szCs w:val="28"/>
        </w:rPr>
        <w:t>Smail</w:t>
      </w:r>
      <w:proofErr w:type="spellEnd"/>
      <w:r>
        <w:rPr>
          <w:sz w:val="28"/>
          <w:szCs w:val="28"/>
        </w:rPr>
        <w:t xml:space="preserve">, </w:t>
      </w:r>
      <w:r w:rsidR="002D2EF7">
        <w:rPr>
          <w:sz w:val="28"/>
          <w:szCs w:val="28"/>
        </w:rPr>
        <w:t xml:space="preserve">accompagné des </w:t>
      </w:r>
      <w:r>
        <w:rPr>
          <w:sz w:val="28"/>
          <w:szCs w:val="28"/>
        </w:rPr>
        <w:t xml:space="preserve"> documents approuvés et les justi</w:t>
      </w:r>
      <w:r w:rsidR="00D65B08">
        <w:rPr>
          <w:sz w:val="28"/>
          <w:szCs w:val="28"/>
        </w:rPr>
        <w:t>ficatifs des procédures suivies.</w:t>
      </w:r>
    </w:p>
    <w:p w:rsidR="00D65B08" w:rsidRDefault="00D65B08" w:rsidP="00D65B08">
      <w:pPr>
        <w:ind w:left="360" w:right="283"/>
        <w:jc w:val="both"/>
        <w:rPr>
          <w:sz w:val="28"/>
          <w:szCs w:val="28"/>
        </w:rPr>
      </w:pPr>
    </w:p>
    <w:p w:rsidR="000B62C6" w:rsidRPr="00C143D3" w:rsidRDefault="00C143D3" w:rsidP="00D65B08">
      <w:pPr>
        <w:ind w:left="360" w:right="283"/>
        <w:jc w:val="both"/>
        <w:rPr>
          <w:sz w:val="28"/>
          <w:szCs w:val="28"/>
        </w:rPr>
      </w:pPr>
      <w:r>
        <w:rPr>
          <w:sz w:val="28"/>
          <w:szCs w:val="28"/>
        </w:rPr>
        <w:t xml:space="preserve"> Le rapport en question a été déposé le 02 Août 2022 sous le N°331/</w:t>
      </w:r>
      <w:r w:rsidR="00D65B08">
        <w:rPr>
          <w:sz w:val="28"/>
          <w:szCs w:val="28"/>
        </w:rPr>
        <w:t xml:space="preserve">2022, </w:t>
      </w:r>
      <w:r>
        <w:rPr>
          <w:sz w:val="28"/>
          <w:szCs w:val="28"/>
        </w:rPr>
        <w:t>les parties ont obtenu copie, a</w:t>
      </w:r>
      <w:r w:rsidR="00D65B08">
        <w:rPr>
          <w:sz w:val="28"/>
          <w:szCs w:val="28"/>
        </w:rPr>
        <w:t>u</w:t>
      </w:r>
      <w:r>
        <w:rPr>
          <w:sz w:val="28"/>
          <w:szCs w:val="28"/>
        </w:rPr>
        <w:t xml:space="preserve">près du greffe du tribunal. Ce rapport d’expertise est actuellement à l’étude par l’avocat conseil de l’Entreprise. </w:t>
      </w:r>
    </w:p>
    <w:p w:rsidR="00B64FC9" w:rsidRDefault="00B64FC9" w:rsidP="00C143D3">
      <w:pPr>
        <w:ind w:right="283"/>
        <w:jc w:val="both"/>
        <w:rPr>
          <w:sz w:val="28"/>
          <w:szCs w:val="28"/>
        </w:rPr>
      </w:pPr>
    </w:p>
    <w:p w:rsidR="005674C9" w:rsidRPr="00D8040A" w:rsidRDefault="00393FCC" w:rsidP="00627EA7">
      <w:pPr>
        <w:pStyle w:val="Retraitcorpsdetexte"/>
        <w:ind w:left="1080" w:right="283"/>
        <w:rPr>
          <w:b/>
          <w:color w:val="0000FF"/>
          <w:u w:val="single"/>
        </w:rPr>
      </w:pPr>
      <w:r w:rsidRPr="00D8040A">
        <w:rPr>
          <w:b/>
          <w:color w:val="0000FF"/>
          <w:u w:val="single"/>
        </w:rPr>
        <w:t>1</w:t>
      </w:r>
      <w:r w:rsidR="007F6857">
        <w:rPr>
          <w:b/>
          <w:color w:val="0000FF"/>
          <w:u w:val="single"/>
        </w:rPr>
        <w:t>-7</w:t>
      </w:r>
      <w:r w:rsidR="005674C9" w:rsidRPr="00D8040A">
        <w:rPr>
          <w:b/>
          <w:color w:val="0000FF"/>
          <w:u w:val="single"/>
        </w:rPr>
        <w:t xml:space="preserve"> Evaluation du processus d’application </w:t>
      </w:r>
      <w:r w:rsidR="00627EA7" w:rsidRPr="00D8040A">
        <w:rPr>
          <w:b/>
          <w:color w:val="0000FF"/>
          <w:u w:val="single"/>
        </w:rPr>
        <w:t>du Système Comptable Financier </w:t>
      </w:r>
    </w:p>
    <w:p w:rsidR="000E38E0" w:rsidRPr="00D8040A" w:rsidRDefault="000E38E0" w:rsidP="002E41DF">
      <w:pPr>
        <w:ind w:left="360" w:right="283"/>
        <w:jc w:val="both"/>
        <w:rPr>
          <w:sz w:val="28"/>
          <w:szCs w:val="28"/>
        </w:rPr>
      </w:pPr>
    </w:p>
    <w:p w:rsidR="008C3DDA" w:rsidRDefault="00756DD7" w:rsidP="00756DD7">
      <w:pPr>
        <w:ind w:left="360" w:right="283"/>
        <w:jc w:val="both"/>
        <w:rPr>
          <w:sz w:val="28"/>
          <w:szCs w:val="28"/>
        </w:rPr>
      </w:pPr>
      <w:r>
        <w:rPr>
          <w:sz w:val="28"/>
          <w:szCs w:val="28"/>
        </w:rPr>
        <w:t>Dans le cadre</w:t>
      </w:r>
      <w:r w:rsidR="00627EA7" w:rsidRPr="00D8040A">
        <w:rPr>
          <w:sz w:val="28"/>
          <w:szCs w:val="28"/>
        </w:rPr>
        <w:t xml:space="preserve"> de la loi N°07-11 du 25 Novembre 2007, portant Système Comptable Financier et des textes réglementaires pris en la matière, notamment l’arrêté du 26 Juillet 2008 </w:t>
      </w:r>
      <w:r w:rsidR="00E21FA0">
        <w:rPr>
          <w:sz w:val="28"/>
          <w:szCs w:val="28"/>
        </w:rPr>
        <w:t xml:space="preserve">, </w:t>
      </w:r>
      <w:r w:rsidR="00627EA7" w:rsidRPr="00D8040A">
        <w:rPr>
          <w:sz w:val="28"/>
          <w:szCs w:val="28"/>
        </w:rPr>
        <w:t>fixant les règles d’évaluation et de comptabilisation, le contenu et la présentation des états financiers ainsi que la nomenclature et les règle</w:t>
      </w:r>
      <w:r>
        <w:rPr>
          <w:sz w:val="28"/>
          <w:szCs w:val="28"/>
        </w:rPr>
        <w:t xml:space="preserve">s de fonctionnement des comptes, des travaux ont été engagés et réalisés par l’entreprise. </w:t>
      </w:r>
    </w:p>
    <w:p w:rsidR="00C143D3" w:rsidRDefault="00C143D3" w:rsidP="00BE5831">
      <w:pPr>
        <w:ind w:right="283"/>
        <w:jc w:val="both"/>
        <w:rPr>
          <w:sz w:val="28"/>
          <w:szCs w:val="28"/>
        </w:rPr>
      </w:pPr>
    </w:p>
    <w:p w:rsidR="00C143D3" w:rsidRDefault="00C143D3" w:rsidP="00C143D3">
      <w:pPr>
        <w:pStyle w:val="Retraitcorpsdetexte"/>
        <w:ind w:left="1080" w:right="283"/>
        <w:rPr>
          <w:b/>
          <w:color w:val="0000FF"/>
          <w:u w:val="single"/>
        </w:rPr>
      </w:pPr>
      <w:r w:rsidRPr="00D8040A">
        <w:rPr>
          <w:b/>
          <w:color w:val="0000FF"/>
          <w:u w:val="single"/>
        </w:rPr>
        <w:t>1</w:t>
      </w:r>
      <w:r w:rsidR="007F6857">
        <w:rPr>
          <w:b/>
          <w:color w:val="0000FF"/>
          <w:u w:val="single"/>
        </w:rPr>
        <w:t>-8</w:t>
      </w:r>
      <w:r>
        <w:rPr>
          <w:b/>
          <w:color w:val="0000FF"/>
          <w:u w:val="single"/>
        </w:rPr>
        <w:t xml:space="preserve"> Autres remarques, observations et recommandations émises par  le Commissaire aux comptes.</w:t>
      </w:r>
    </w:p>
    <w:p w:rsidR="00C143D3" w:rsidRDefault="00C143D3" w:rsidP="00C143D3">
      <w:pPr>
        <w:pStyle w:val="Retraitcorpsdetexte"/>
        <w:ind w:left="1080" w:right="283"/>
        <w:rPr>
          <w:b/>
          <w:color w:val="0000FF"/>
          <w:u w:val="single"/>
        </w:rPr>
      </w:pPr>
    </w:p>
    <w:p w:rsidR="00C143D3" w:rsidRDefault="00C143D3" w:rsidP="003C00AA">
      <w:pPr>
        <w:pStyle w:val="Paragraphedeliste"/>
        <w:numPr>
          <w:ilvl w:val="0"/>
          <w:numId w:val="24"/>
        </w:numPr>
        <w:ind w:right="283"/>
        <w:jc w:val="both"/>
        <w:rPr>
          <w:sz w:val="28"/>
          <w:szCs w:val="28"/>
        </w:rPr>
      </w:pPr>
      <w:r w:rsidRPr="00C143D3">
        <w:rPr>
          <w:b/>
          <w:color w:val="0000FF"/>
          <w:u w:val="single"/>
        </w:rPr>
        <w:t>Mise en conformité des statuts </w:t>
      </w:r>
      <w:r w:rsidRPr="00C143D3">
        <w:rPr>
          <w:b/>
          <w:color w:val="0000FF"/>
        </w:rPr>
        <w:t>:</w:t>
      </w:r>
      <w:r w:rsidR="00D65B08">
        <w:rPr>
          <w:sz w:val="28"/>
          <w:szCs w:val="28"/>
        </w:rPr>
        <w:t xml:space="preserve">La </w:t>
      </w:r>
      <w:r>
        <w:rPr>
          <w:sz w:val="28"/>
          <w:szCs w:val="28"/>
        </w:rPr>
        <w:t xml:space="preserve">mise en conformité des statuts, par suite de la reconfiguration du Conseil d’Administration n’est pas </w:t>
      </w:r>
      <w:r w:rsidR="00D65B08">
        <w:rPr>
          <w:sz w:val="28"/>
          <w:szCs w:val="28"/>
        </w:rPr>
        <w:t xml:space="preserve">forcément </w:t>
      </w:r>
      <w:r>
        <w:rPr>
          <w:sz w:val="28"/>
          <w:szCs w:val="28"/>
        </w:rPr>
        <w:t xml:space="preserve">nécessaire, sachant </w:t>
      </w:r>
      <w:r w:rsidR="00BE5831">
        <w:rPr>
          <w:sz w:val="28"/>
          <w:szCs w:val="28"/>
        </w:rPr>
        <w:t xml:space="preserve">d’une part </w:t>
      </w:r>
      <w:r>
        <w:rPr>
          <w:sz w:val="28"/>
          <w:szCs w:val="28"/>
        </w:rPr>
        <w:t xml:space="preserve">qu’elle n’est pas consacrée par une résolution de l’Assemblée Générale Ordinaire, </w:t>
      </w:r>
      <w:r w:rsidR="00BE5831">
        <w:rPr>
          <w:sz w:val="28"/>
          <w:szCs w:val="28"/>
        </w:rPr>
        <w:t xml:space="preserve">et que d’autre part, </w:t>
      </w:r>
      <w:r>
        <w:rPr>
          <w:sz w:val="28"/>
          <w:szCs w:val="28"/>
        </w:rPr>
        <w:t xml:space="preserve"> la compétence  sur le plan légal, en référence aux dispositions du code de commerc</w:t>
      </w:r>
      <w:r w:rsidR="00454BCD">
        <w:rPr>
          <w:sz w:val="28"/>
          <w:szCs w:val="28"/>
        </w:rPr>
        <w:t xml:space="preserve">e et notamment son article 674, </w:t>
      </w:r>
      <w:r>
        <w:rPr>
          <w:sz w:val="28"/>
          <w:szCs w:val="28"/>
        </w:rPr>
        <w:t>relève exclusivement de l’Assemblée Générale Extraordinaire.</w:t>
      </w:r>
    </w:p>
    <w:p w:rsidR="00454BCD" w:rsidRPr="00454BCD" w:rsidRDefault="00C143D3" w:rsidP="003C00AA">
      <w:pPr>
        <w:pStyle w:val="Paragraphedeliste"/>
        <w:numPr>
          <w:ilvl w:val="0"/>
          <w:numId w:val="24"/>
        </w:numPr>
        <w:ind w:right="283"/>
        <w:jc w:val="both"/>
        <w:rPr>
          <w:sz w:val="28"/>
          <w:szCs w:val="28"/>
        </w:rPr>
      </w:pPr>
      <w:r w:rsidRPr="00454BCD">
        <w:rPr>
          <w:b/>
          <w:color w:val="0000FF"/>
          <w:u w:val="single"/>
        </w:rPr>
        <w:t xml:space="preserve">Modification du </w:t>
      </w:r>
      <w:r w:rsidR="00454BCD" w:rsidRPr="00454BCD">
        <w:rPr>
          <w:b/>
          <w:color w:val="0000FF"/>
          <w:u w:val="single"/>
        </w:rPr>
        <w:t>registre</w:t>
      </w:r>
      <w:r w:rsidRPr="00454BCD">
        <w:rPr>
          <w:b/>
          <w:color w:val="0000FF"/>
          <w:u w:val="single"/>
        </w:rPr>
        <w:t xml:space="preserve"> de </w:t>
      </w:r>
      <w:r w:rsidR="00DC3722" w:rsidRPr="00454BCD">
        <w:rPr>
          <w:b/>
          <w:color w:val="0000FF"/>
          <w:u w:val="single"/>
        </w:rPr>
        <w:t>commerce.</w:t>
      </w:r>
      <w:r w:rsidR="00DC3722" w:rsidRPr="00454BCD">
        <w:rPr>
          <w:sz w:val="28"/>
          <w:szCs w:val="28"/>
        </w:rPr>
        <w:t xml:space="preserve"> Conséquemment</w:t>
      </w:r>
      <w:r w:rsidR="00454BCD" w:rsidRPr="00454BCD">
        <w:rPr>
          <w:sz w:val="28"/>
          <w:szCs w:val="28"/>
        </w:rPr>
        <w:t xml:space="preserve"> à la reconfiguration du Conseil d’Administration, les Administrateurs ont été saisis, pour les besoins de la mise à jour du registre de commerce, à l’effet de fournir</w:t>
      </w:r>
      <w:r w:rsidR="00454BCD">
        <w:rPr>
          <w:sz w:val="28"/>
          <w:szCs w:val="28"/>
        </w:rPr>
        <w:t>, pour chacun, en ce qui le concerne, un  extrait</w:t>
      </w:r>
      <w:r w:rsidR="00454BCD" w:rsidRPr="00454BCD">
        <w:rPr>
          <w:sz w:val="28"/>
          <w:szCs w:val="28"/>
        </w:rPr>
        <w:t xml:space="preserve"> d’acte de naissance et </w:t>
      </w:r>
      <w:r w:rsidR="00454BCD">
        <w:rPr>
          <w:sz w:val="28"/>
          <w:szCs w:val="28"/>
        </w:rPr>
        <w:t xml:space="preserve">un </w:t>
      </w:r>
      <w:r w:rsidR="00454BCD" w:rsidRPr="00454BCD">
        <w:rPr>
          <w:sz w:val="28"/>
          <w:szCs w:val="28"/>
        </w:rPr>
        <w:t>casier judici</w:t>
      </w:r>
      <w:r w:rsidR="00E21FA0">
        <w:rPr>
          <w:sz w:val="28"/>
          <w:szCs w:val="28"/>
        </w:rPr>
        <w:t>aire</w:t>
      </w:r>
      <w:r w:rsidR="00454BCD">
        <w:rPr>
          <w:sz w:val="28"/>
          <w:szCs w:val="28"/>
        </w:rPr>
        <w:t xml:space="preserve">, </w:t>
      </w:r>
      <w:r w:rsidR="00454BCD" w:rsidRPr="00454BCD">
        <w:rPr>
          <w:sz w:val="28"/>
          <w:szCs w:val="28"/>
        </w:rPr>
        <w:t xml:space="preserve"> datant de moins de trois (03</w:t>
      </w:r>
      <w:r w:rsidR="00E21FA0">
        <w:rPr>
          <w:sz w:val="28"/>
          <w:szCs w:val="28"/>
        </w:rPr>
        <w:t xml:space="preserve"> </w:t>
      </w:r>
      <w:r w:rsidR="00454BCD" w:rsidRPr="00454BCD">
        <w:rPr>
          <w:sz w:val="28"/>
          <w:szCs w:val="28"/>
        </w:rPr>
        <w:t>mois), dossier exigé pour cette mise en jour,  opération</w:t>
      </w:r>
      <w:r w:rsidR="00454BCD">
        <w:rPr>
          <w:sz w:val="28"/>
          <w:szCs w:val="28"/>
        </w:rPr>
        <w:t xml:space="preserve"> actuellement </w:t>
      </w:r>
      <w:r w:rsidR="00454BCD" w:rsidRPr="00454BCD">
        <w:rPr>
          <w:sz w:val="28"/>
          <w:szCs w:val="28"/>
        </w:rPr>
        <w:t xml:space="preserve"> en cours de formalisation. </w:t>
      </w:r>
    </w:p>
    <w:p w:rsidR="00454BCD" w:rsidRPr="00454BCD" w:rsidRDefault="00454BCD" w:rsidP="00BE5831">
      <w:pPr>
        <w:pStyle w:val="Paragraphedeliste"/>
        <w:numPr>
          <w:ilvl w:val="0"/>
          <w:numId w:val="24"/>
        </w:numPr>
        <w:ind w:right="283"/>
        <w:jc w:val="both"/>
        <w:rPr>
          <w:sz w:val="28"/>
          <w:szCs w:val="28"/>
        </w:rPr>
      </w:pPr>
      <w:r>
        <w:rPr>
          <w:b/>
          <w:color w:val="0000FF"/>
          <w:u w:val="single"/>
        </w:rPr>
        <w:t>Effectifs par unité &amp; Organisation de l’Entreprise </w:t>
      </w:r>
      <w:r w:rsidR="00AD48C5">
        <w:rPr>
          <w:b/>
          <w:color w:val="0000FF"/>
          <w:u w:val="single"/>
        </w:rPr>
        <w:t>:</w:t>
      </w:r>
      <w:r w:rsidR="00E21FA0">
        <w:rPr>
          <w:b/>
          <w:color w:val="0000FF"/>
          <w:u w:val="single"/>
        </w:rPr>
        <w:t xml:space="preserve"> </w:t>
      </w:r>
      <w:r w:rsidR="00AD48C5">
        <w:rPr>
          <w:sz w:val="28"/>
          <w:szCs w:val="28"/>
        </w:rPr>
        <w:t>Le</w:t>
      </w:r>
      <w:r>
        <w:rPr>
          <w:sz w:val="28"/>
          <w:szCs w:val="28"/>
        </w:rPr>
        <w:t xml:space="preserve"> rapport du commissaire aux comptes fait mention d’un taux d’encadrement de 9% à l’échelle de la Chaine El-</w:t>
      </w:r>
      <w:proofErr w:type="spellStart"/>
      <w:r>
        <w:rPr>
          <w:sz w:val="28"/>
          <w:szCs w:val="28"/>
        </w:rPr>
        <w:t>Aurassi</w:t>
      </w:r>
      <w:proofErr w:type="spellEnd"/>
      <w:r>
        <w:rPr>
          <w:sz w:val="28"/>
          <w:szCs w:val="28"/>
        </w:rPr>
        <w:t>, jugé de s</w:t>
      </w:r>
      <w:r w:rsidR="00D65B08">
        <w:rPr>
          <w:sz w:val="28"/>
          <w:szCs w:val="28"/>
        </w:rPr>
        <w:t>on point de vue faible, sauf qu’il s’agit</w:t>
      </w:r>
      <w:r>
        <w:rPr>
          <w:sz w:val="28"/>
          <w:szCs w:val="28"/>
        </w:rPr>
        <w:t xml:space="preserve"> d’une entreprise prestataire de service dans le domaine  de l’hôtellerie et du </w:t>
      </w:r>
      <w:r w:rsidR="00AD48C5">
        <w:rPr>
          <w:sz w:val="28"/>
          <w:szCs w:val="28"/>
        </w:rPr>
        <w:t>Tourisme,</w:t>
      </w:r>
      <w:r>
        <w:rPr>
          <w:sz w:val="28"/>
          <w:szCs w:val="28"/>
        </w:rPr>
        <w:t xml:space="preserve"> elle est caractérisé principalement par un personnel</w:t>
      </w:r>
      <w:r w:rsidR="00AD48C5">
        <w:rPr>
          <w:sz w:val="28"/>
          <w:szCs w:val="28"/>
        </w:rPr>
        <w:t xml:space="preserve"> d’exécution et de maitrise assez</w:t>
      </w:r>
      <w:r w:rsidR="00D65B08">
        <w:rPr>
          <w:sz w:val="28"/>
          <w:szCs w:val="28"/>
        </w:rPr>
        <w:t xml:space="preserve"> important </w:t>
      </w:r>
      <w:r w:rsidR="00AD48C5">
        <w:rPr>
          <w:sz w:val="28"/>
          <w:szCs w:val="28"/>
        </w:rPr>
        <w:t xml:space="preserve">. A titre d’exemple les chaines Hôtelières Internationales installées dans le pays, la part de leur encadrement par rapport à l’effectif total </w:t>
      </w:r>
      <w:r w:rsidR="00DC3722">
        <w:rPr>
          <w:sz w:val="28"/>
          <w:szCs w:val="28"/>
        </w:rPr>
        <w:t xml:space="preserve">se situe seulement entre 4 et 5%. </w:t>
      </w:r>
      <w:r w:rsidR="00D65B08">
        <w:rPr>
          <w:sz w:val="28"/>
          <w:szCs w:val="28"/>
        </w:rPr>
        <w:t xml:space="preserve">Pour </w:t>
      </w:r>
      <w:r w:rsidR="00AD48C5">
        <w:rPr>
          <w:sz w:val="28"/>
          <w:szCs w:val="28"/>
        </w:rPr>
        <w:t xml:space="preserve">ce qui </w:t>
      </w:r>
      <w:r w:rsidR="00D65B08">
        <w:rPr>
          <w:sz w:val="28"/>
          <w:szCs w:val="28"/>
        </w:rPr>
        <w:t xml:space="preserve">est  de </w:t>
      </w:r>
      <w:r w:rsidR="00AD48C5">
        <w:rPr>
          <w:sz w:val="28"/>
          <w:szCs w:val="28"/>
        </w:rPr>
        <w:t xml:space="preserve">l’organisation qui constitue au demeurant un </w:t>
      </w:r>
      <w:r w:rsidR="00DC3722">
        <w:rPr>
          <w:sz w:val="28"/>
          <w:szCs w:val="28"/>
        </w:rPr>
        <w:t xml:space="preserve">simple </w:t>
      </w:r>
      <w:r w:rsidR="00AD48C5">
        <w:rPr>
          <w:sz w:val="28"/>
          <w:szCs w:val="28"/>
        </w:rPr>
        <w:t xml:space="preserve">acte de gestion, un projet de réorganisation, prenant en compte </w:t>
      </w:r>
      <w:r w:rsidR="00AD48C5">
        <w:rPr>
          <w:sz w:val="28"/>
          <w:szCs w:val="28"/>
        </w:rPr>
        <w:lastRenderedPageBreak/>
        <w:t xml:space="preserve">les structures actuellement  assurées par des intérimaires   sera soumis incessamment à l’examen et à l’adoption du Conseil d’Administration.  </w:t>
      </w:r>
      <w:r w:rsidR="00D65B08">
        <w:rPr>
          <w:sz w:val="28"/>
          <w:szCs w:val="28"/>
        </w:rPr>
        <w:t xml:space="preserve">Il </w:t>
      </w:r>
      <w:r w:rsidR="00AD48C5">
        <w:rPr>
          <w:sz w:val="28"/>
          <w:szCs w:val="28"/>
        </w:rPr>
        <w:t xml:space="preserve"> est clairement</w:t>
      </w:r>
      <w:r w:rsidR="00D65B08">
        <w:rPr>
          <w:sz w:val="28"/>
          <w:szCs w:val="28"/>
        </w:rPr>
        <w:t xml:space="preserve"> précisé et </w:t>
      </w:r>
      <w:r w:rsidR="00AD48C5">
        <w:rPr>
          <w:sz w:val="28"/>
          <w:szCs w:val="28"/>
        </w:rPr>
        <w:t xml:space="preserve"> entendu, que les structures centrales actuelles ont</w:t>
      </w:r>
      <w:r w:rsidR="00D65B08">
        <w:rPr>
          <w:sz w:val="28"/>
          <w:szCs w:val="28"/>
        </w:rPr>
        <w:t xml:space="preserve">, en effet, </w:t>
      </w:r>
      <w:r w:rsidR="00AD48C5">
        <w:rPr>
          <w:sz w:val="28"/>
          <w:szCs w:val="28"/>
        </w:rPr>
        <w:t xml:space="preserve"> pour mission d’accompagner, d’assister et de contrôler les activités des unités du Sud, et </w:t>
      </w:r>
      <w:r w:rsidR="00D65B08">
        <w:rPr>
          <w:sz w:val="28"/>
          <w:szCs w:val="28"/>
        </w:rPr>
        <w:t xml:space="preserve">ce, </w:t>
      </w:r>
      <w:r w:rsidR="00AD48C5">
        <w:rPr>
          <w:sz w:val="28"/>
          <w:szCs w:val="28"/>
        </w:rPr>
        <w:t xml:space="preserve">pour chacune des structures </w:t>
      </w:r>
      <w:r w:rsidR="00D65B08">
        <w:rPr>
          <w:sz w:val="28"/>
          <w:szCs w:val="28"/>
        </w:rPr>
        <w:t xml:space="preserve">centrales, </w:t>
      </w:r>
      <w:r w:rsidR="00BE5831">
        <w:rPr>
          <w:sz w:val="28"/>
          <w:szCs w:val="28"/>
        </w:rPr>
        <w:t xml:space="preserve">pour </w:t>
      </w:r>
      <w:r w:rsidR="00AD48C5">
        <w:rPr>
          <w:sz w:val="28"/>
          <w:szCs w:val="28"/>
        </w:rPr>
        <w:t xml:space="preserve">sa </w:t>
      </w:r>
      <w:r w:rsidR="00D65B08">
        <w:rPr>
          <w:sz w:val="28"/>
          <w:szCs w:val="28"/>
        </w:rPr>
        <w:t xml:space="preserve">propre </w:t>
      </w:r>
      <w:r w:rsidR="00AD48C5">
        <w:rPr>
          <w:sz w:val="28"/>
          <w:szCs w:val="28"/>
        </w:rPr>
        <w:t>partie.</w:t>
      </w:r>
    </w:p>
    <w:p w:rsidR="00AD48C5" w:rsidRDefault="00AD48C5" w:rsidP="003C00AA">
      <w:pPr>
        <w:pStyle w:val="Paragraphedeliste"/>
        <w:numPr>
          <w:ilvl w:val="0"/>
          <w:numId w:val="24"/>
        </w:numPr>
        <w:ind w:right="283"/>
        <w:jc w:val="both"/>
        <w:rPr>
          <w:sz w:val="28"/>
          <w:szCs w:val="28"/>
        </w:rPr>
      </w:pPr>
      <w:r>
        <w:rPr>
          <w:b/>
          <w:color w:val="0000FF"/>
          <w:u w:val="single"/>
        </w:rPr>
        <w:t>Suivi des recommandations formulées l’année précédente </w:t>
      </w:r>
      <w:r w:rsidRPr="00AD48C5">
        <w:rPr>
          <w:b/>
          <w:color w:val="0000FF"/>
        </w:rPr>
        <w:t xml:space="preserve">: </w:t>
      </w:r>
      <w:r>
        <w:rPr>
          <w:sz w:val="28"/>
          <w:szCs w:val="28"/>
        </w:rPr>
        <w:t xml:space="preserve">Comme indiqué dans le rapport du commissaire aux comptes, au titre de l’exercice 2021,  les observations et les recommandations du commissaire aux comptes précèdent, ont été effectivement  prises en charge partiellement, cette opération se poursuivra tout au long des exercices à venir, </w:t>
      </w:r>
      <w:r w:rsidR="00D65B08">
        <w:rPr>
          <w:sz w:val="28"/>
          <w:szCs w:val="28"/>
        </w:rPr>
        <w:t xml:space="preserve">par </w:t>
      </w:r>
      <w:r>
        <w:rPr>
          <w:sz w:val="28"/>
          <w:szCs w:val="28"/>
        </w:rPr>
        <w:t>une prise en charge totale.</w:t>
      </w:r>
    </w:p>
    <w:p w:rsidR="00AD48C5" w:rsidRDefault="00AD48C5" w:rsidP="003C00AA">
      <w:pPr>
        <w:pStyle w:val="Paragraphedeliste"/>
        <w:numPr>
          <w:ilvl w:val="0"/>
          <w:numId w:val="24"/>
        </w:numPr>
        <w:ind w:right="283"/>
        <w:jc w:val="both"/>
        <w:rPr>
          <w:sz w:val="28"/>
          <w:szCs w:val="28"/>
        </w:rPr>
      </w:pPr>
      <w:r>
        <w:rPr>
          <w:b/>
          <w:color w:val="0000FF"/>
          <w:u w:val="single"/>
        </w:rPr>
        <w:t>Observations sur le plan du contrôle interne.</w:t>
      </w:r>
      <w:r>
        <w:rPr>
          <w:sz w:val="28"/>
          <w:szCs w:val="28"/>
        </w:rPr>
        <w:t xml:space="preserve">   L’examen du contrôle interne  aurait selon le rapport du commissaire aux comptes révélé des forces et des insuffisances, que l’Entreprise entend </w:t>
      </w:r>
      <w:r w:rsidR="00D65B08">
        <w:rPr>
          <w:sz w:val="28"/>
          <w:szCs w:val="28"/>
        </w:rPr>
        <w:t xml:space="preserve">pouvoir </w:t>
      </w:r>
      <w:r>
        <w:rPr>
          <w:sz w:val="28"/>
          <w:szCs w:val="28"/>
        </w:rPr>
        <w:t>combler, les recommandations les plus significatives visent les points ci-après :</w:t>
      </w:r>
    </w:p>
    <w:p w:rsidR="00AD48C5" w:rsidRDefault="00AD48C5" w:rsidP="003C00AA">
      <w:pPr>
        <w:pStyle w:val="Paragraphedeliste"/>
        <w:numPr>
          <w:ilvl w:val="0"/>
          <w:numId w:val="25"/>
        </w:numPr>
        <w:ind w:right="283"/>
        <w:jc w:val="both"/>
        <w:rPr>
          <w:sz w:val="28"/>
          <w:szCs w:val="28"/>
        </w:rPr>
      </w:pPr>
      <w:r>
        <w:rPr>
          <w:sz w:val="28"/>
          <w:szCs w:val="28"/>
        </w:rPr>
        <w:t xml:space="preserve">L’actualisation du schéma organisationnel en référence à la résolution N°06 de l’Assemblée Générale Extraordinaire tenue le 14 Décembre 2009, </w:t>
      </w:r>
      <w:r w:rsidR="00DC4304">
        <w:rPr>
          <w:sz w:val="28"/>
          <w:szCs w:val="28"/>
        </w:rPr>
        <w:t>qui précise : « </w:t>
      </w:r>
      <w:r>
        <w:rPr>
          <w:sz w:val="28"/>
          <w:szCs w:val="28"/>
        </w:rPr>
        <w:t xml:space="preserve"> L’Assemblée Générale Extraordinaire de la Spa Entreprise de Gestion Hôtelière El-</w:t>
      </w:r>
      <w:proofErr w:type="spellStart"/>
      <w:r>
        <w:rPr>
          <w:sz w:val="28"/>
          <w:szCs w:val="28"/>
        </w:rPr>
        <w:t>Aurassi</w:t>
      </w:r>
      <w:proofErr w:type="spellEnd"/>
      <w:r>
        <w:rPr>
          <w:sz w:val="28"/>
          <w:szCs w:val="28"/>
        </w:rPr>
        <w:t xml:space="preserve"> décide de la transformation   de l’intitulé de la raison sociale qui prendra désormais la dénomination de L’entreprise de Gestion Hôtelière et qui sera constituée des unités hôtelières suivantes : ».</w:t>
      </w:r>
    </w:p>
    <w:p w:rsidR="00AD48C5" w:rsidRDefault="00AD48C5" w:rsidP="003C00AA">
      <w:pPr>
        <w:pStyle w:val="Paragraphedeliste"/>
        <w:numPr>
          <w:ilvl w:val="0"/>
          <w:numId w:val="26"/>
        </w:numPr>
        <w:ind w:right="283"/>
        <w:jc w:val="both"/>
        <w:rPr>
          <w:sz w:val="28"/>
          <w:szCs w:val="28"/>
        </w:rPr>
      </w:pPr>
      <w:r>
        <w:rPr>
          <w:sz w:val="28"/>
          <w:szCs w:val="28"/>
        </w:rPr>
        <w:t>Hôtel EL-</w:t>
      </w:r>
      <w:proofErr w:type="spellStart"/>
      <w:r>
        <w:rPr>
          <w:sz w:val="28"/>
          <w:szCs w:val="28"/>
        </w:rPr>
        <w:t>Aurassi</w:t>
      </w:r>
      <w:proofErr w:type="spellEnd"/>
      <w:r>
        <w:rPr>
          <w:sz w:val="28"/>
          <w:szCs w:val="28"/>
        </w:rPr>
        <w:t xml:space="preserve">    (Alger)</w:t>
      </w:r>
    </w:p>
    <w:p w:rsidR="00AD48C5" w:rsidRDefault="00AD48C5" w:rsidP="003C00AA">
      <w:pPr>
        <w:pStyle w:val="Paragraphedeliste"/>
        <w:numPr>
          <w:ilvl w:val="0"/>
          <w:numId w:val="26"/>
        </w:numPr>
        <w:ind w:right="283"/>
        <w:jc w:val="both"/>
        <w:rPr>
          <w:sz w:val="28"/>
          <w:szCs w:val="28"/>
        </w:rPr>
      </w:pPr>
      <w:r>
        <w:rPr>
          <w:sz w:val="28"/>
          <w:szCs w:val="28"/>
        </w:rPr>
        <w:t xml:space="preserve">Hôtel EL </w:t>
      </w:r>
      <w:proofErr w:type="spellStart"/>
      <w:r>
        <w:rPr>
          <w:sz w:val="28"/>
          <w:szCs w:val="28"/>
        </w:rPr>
        <w:t>Boustène</w:t>
      </w:r>
      <w:proofErr w:type="spellEnd"/>
      <w:r>
        <w:rPr>
          <w:sz w:val="28"/>
          <w:szCs w:val="28"/>
        </w:rPr>
        <w:t xml:space="preserve"> (</w:t>
      </w:r>
      <w:proofErr w:type="spellStart"/>
      <w:r>
        <w:rPr>
          <w:sz w:val="28"/>
          <w:szCs w:val="28"/>
        </w:rPr>
        <w:t>Ménéa</w:t>
      </w:r>
      <w:proofErr w:type="spellEnd"/>
      <w:r>
        <w:rPr>
          <w:sz w:val="28"/>
          <w:szCs w:val="28"/>
        </w:rPr>
        <w:t xml:space="preserve">) </w:t>
      </w:r>
    </w:p>
    <w:p w:rsidR="00AD48C5" w:rsidRDefault="00AD48C5" w:rsidP="003C00AA">
      <w:pPr>
        <w:pStyle w:val="Paragraphedeliste"/>
        <w:numPr>
          <w:ilvl w:val="0"/>
          <w:numId w:val="26"/>
        </w:numPr>
        <w:ind w:right="283"/>
        <w:jc w:val="both"/>
        <w:rPr>
          <w:sz w:val="28"/>
          <w:szCs w:val="28"/>
        </w:rPr>
      </w:pPr>
      <w:r>
        <w:rPr>
          <w:sz w:val="28"/>
          <w:szCs w:val="28"/>
        </w:rPr>
        <w:t xml:space="preserve">Hôtel </w:t>
      </w:r>
      <w:proofErr w:type="spellStart"/>
      <w:r>
        <w:rPr>
          <w:sz w:val="28"/>
          <w:szCs w:val="28"/>
        </w:rPr>
        <w:t>Mehri</w:t>
      </w:r>
      <w:proofErr w:type="spellEnd"/>
      <w:r>
        <w:rPr>
          <w:sz w:val="28"/>
          <w:szCs w:val="28"/>
        </w:rPr>
        <w:t xml:space="preserve"> (Ouargla) </w:t>
      </w:r>
    </w:p>
    <w:p w:rsidR="00AD48C5" w:rsidRDefault="00AD48C5" w:rsidP="003C00AA">
      <w:pPr>
        <w:pStyle w:val="Paragraphedeliste"/>
        <w:numPr>
          <w:ilvl w:val="0"/>
          <w:numId w:val="26"/>
        </w:numPr>
        <w:ind w:right="283"/>
        <w:jc w:val="both"/>
        <w:rPr>
          <w:sz w:val="28"/>
          <w:szCs w:val="28"/>
        </w:rPr>
      </w:pPr>
      <w:r>
        <w:rPr>
          <w:sz w:val="28"/>
          <w:szCs w:val="28"/>
        </w:rPr>
        <w:t xml:space="preserve">Hôtel </w:t>
      </w:r>
      <w:proofErr w:type="spellStart"/>
      <w:r>
        <w:rPr>
          <w:sz w:val="28"/>
          <w:szCs w:val="28"/>
        </w:rPr>
        <w:t>Rym</w:t>
      </w:r>
      <w:proofErr w:type="spellEnd"/>
      <w:r>
        <w:rPr>
          <w:sz w:val="28"/>
          <w:szCs w:val="28"/>
        </w:rPr>
        <w:t xml:space="preserve"> (Béni-Abbés) </w:t>
      </w:r>
    </w:p>
    <w:p w:rsidR="00AD48C5" w:rsidRDefault="00AD48C5" w:rsidP="00AD48C5">
      <w:pPr>
        <w:pStyle w:val="Paragraphedeliste"/>
        <w:ind w:left="5572" w:right="283"/>
        <w:jc w:val="both"/>
        <w:rPr>
          <w:sz w:val="28"/>
          <w:szCs w:val="28"/>
        </w:rPr>
      </w:pPr>
    </w:p>
    <w:p w:rsidR="00AD48C5" w:rsidRDefault="00DC4304" w:rsidP="00AD48C5">
      <w:pPr>
        <w:ind w:right="283"/>
        <w:jc w:val="both"/>
        <w:rPr>
          <w:sz w:val="28"/>
          <w:szCs w:val="28"/>
        </w:rPr>
      </w:pPr>
      <w:r>
        <w:rPr>
          <w:sz w:val="28"/>
          <w:szCs w:val="28"/>
        </w:rPr>
        <w:t xml:space="preserve">A la lecture attentive de cette résolution, </w:t>
      </w:r>
      <w:r w:rsidR="00E21FA0">
        <w:rPr>
          <w:sz w:val="28"/>
          <w:szCs w:val="28"/>
        </w:rPr>
        <w:t>la création d’une unité siège n’est pas expressément indiquée,</w:t>
      </w:r>
      <w:r w:rsidR="00AD48C5">
        <w:rPr>
          <w:sz w:val="28"/>
          <w:szCs w:val="28"/>
        </w:rPr>
        <w:t xml:space="preserve"> tel que rapporté</w:t>
      </w:r>
      <w:r>
        <w:rPr>
          <w:sz w:val="28"/>
          <w:szCs w:val="28"/>
        </w:rPr>
        <w:t>,</w:t>
      </w:r>
      <w:r w:rsidR="00AD48C5">
        <w:rPr>
          <w:sz w:val="28"/>
          <w:szCs w:val="28"/>
        </w:rPr>
        <w:t xml:space="preserve"> dans le rapport du commissaire aux comptes de l’exercice 2021. </w:t>
      </w:r>
    </w:p>
    <w:p w:rsidR="00AD48C5" w:rsidRDefault="00AD48C5" w:rsidP="00257AFB">
      <w:pPr>
        <w:pStyle w:val="Paragraphedeliste"/>
        <w:numPr>
          <w:ilvl w:val="1"/>
          <w:numId w:val="25"/>
        </w:numPr>
        <w:ind w:right="283"/>
        <w:jc w:val="both"/>
        <w:rPr>
          <w:sz w:val="28"/>
          <w:szCs w:val="28"/>
        </w:rPr>
      </w:pPr>
      <w:r w:rsidRPr="00AD48C5">
        <w:rPr>
          <w:sz w:val="28"/>
          <w:szCs w:val="28"/>
        </w:rPr>
        <w:t xml:space="preserve"> </w:t>
      </w:r>
      <w:r w:rsidR="00E21FA0">
        <w:rPr>
          <w:sz w:val="28"/>
          <w:szCs w:val="28"/>
        </w:rPr>
        <w:t>Par ailleurs,</w:t>
      </w:r>
      <w:r w:rsidRPr="00AD48C5">
        <w:rPr>
          <w:sz w:val="28"/>
          <w:szCs w:val="28"/>
        </w:rPr>
        <w:t xml:space="preserve"> il convient de </w:t>
      </w:r>
      <w:r w:rsidR="00DC4304" w:rsidRPr="00AD48C5">
        <w:rPr>
          <w:sz w:val="28"/>
          <w:szCs w:val="28"/>
        </w:rPr>
        <w:t>préciser,</w:t>
      </w:r>
      <w:r w:rsidR="00E21FA0">
        <w:rPr>
          <w:sz w:val="28"/>
          <w:szCs w:val="28"/>
        </w:rPr>
        <w:t xml:space="preserve"> </w:t>
      </w:r>
      <w:r w:rsidRPr="00AD48C5">
        <w:rPr>
          <w:sz w:val="28"/>
          <w:szCs w:val="28"/>
        </w:rPr>
        <w:t xml:space="preserve">que l’Assemblée Générale Extraordinaire tenue le 14 Décembre </w:t>
      </w:r>
      <w:r w:rsidR="00DC4304" w:rsidRPr="00AD48C5">
        <w:rPr>
          <w:sz w:val="28"/>
          <w:szCs w:val="28"/>
        </w:rPr>
        <w:t>2009,</w:t>
      </w:r>
      <w:r w:rsidRPr="00AD48C5">
        <w:rPr>
          <w:sz w:val="28"/>
          <w:szCs w:val="28"/>
        </w:rPr>
        <w:t xml:space="preserve"> en dehors qu’elle soit légalement ouverte à tous les actionnaires </w:t>
      </w:r>
      <w:r w:rsidR="00DC4304">
        <w:rPr>
          <w:sz w:val="28"/>
          <w:szCs w:val="28"/>
        </w:rPr>
        <w:t>de  la société,</w:t>
      </w:r>
      <w:r w:rsidRPr="00AD48C5">
        <w:rPr>
          <w:sz w:val="28"/>
          <w:szCs w:val="28"/>
        </w:rPr>
        <w:t xml:space="preserve"> y compris</w:t>
      </w:r>
      <w:r w:rsidR="00DC4304">
        <w:rPr>
          <w:sz w:val="28"/>
          <w:szCs w:val="28"/>
        </w:rPr>
        <w:t xml:space="preserve"> les actionnaires minoritaires. Ces actionnaires minoritaires </w:t>
      </w:r>
      <w:r w:rsidRPr="00AD48C5">
        <w:rPr>
          <w:sz w:val="28"/>
          <w:szCs w:val="28"/>
        </w:rPr>
        <w:t>ont été représentés dans la composante du bureau de l’Assemblée, par deux administrateurs siégeant au Conseil d’Administration, avec la prés</w:t>
      </w:r>
      <w:r w:rsidR="00DC4304">
        <w:rPr>
          <w:sz w:val="28"/>
          <w:szCs w:val="28"/>
        </w:rPr>
        <w:t>ence du commissaire aux comptes</w:t>
      </w:r>
      <w:r w:rsidR="00BE5831">
        <w:rPr>
          <w:sz w:val="28"/>
          <w:szCs w:val="28"/>
        </w:rPr>
        <w:t xml:space="preserve">, </w:t>
      </w:r>
      <w:r w:rsidR="00DC4304">
        <w:rPr>
          <w:sz w:val="28"/>
          <w:szCs w:val="28"/>
        </w:rPr>
        <w:t xml:space="preserve"> en mandat à cette époque, </w:t>
      </w:r>
      <w:r w:rsidRPr="00AD48C5">
        <w:rPr>
          <w:sz w:val="28"/>
          <w:szCs w:val="28"/>
        </w:rPr>
        <w:t xml:space="preserve"> ayant établi pour la circonstance </w:t>
      </w:r>
      <w:r w:rsidR="00DC4304">
        <w:rPr>
          <w:sz w:val="28"/>
          <w:szCs w:val="28"/>
        </w:rPr>
        <w:t xml:space="preserve">un </w:t>
      </w:r>
      <w:r w:rsidRPr="00AD48C5">
        <w:rPr>
          <w:sz w:val="28"/>
          <w:szCs w:val="28"/>
        </w:rPr>
        <w:t xml:space="preserve">rapport </w:t>
      </w:r>
      <w:r w:rsidR="00DC4304" w:rsidRPr="00AD48C5">
        <w:rPr>
          <w:sz w:val="28"/>
          <w:szCs w:val="28"/>
        </w:rPr>
        <w:t>spécial.</w:t>
      </w:r>
      <w:r w:rsidRPr="00AD48C5">
        <w:rPr>
          <w:sz w:val="28"/>
          <w:szCs w:val="28"/>
        </w:rPr>
        <w:t xml:space="preserve">  Les résolutions </w:t>
      </w:r>
      <w:r w:rsidR="00DC4304">
        <w:rPr>
          <w:sz w:val="28"/>
          <w:szCs w:val="28"/>
        </w:rPr>
        <w:t xml:space="preserve">objets de l’Assemblée Générale Extraordinaire sus visée </w:t>
      </w:r>
      <w:r w:rsidRPr="00AD48C5">
        <w:rPr>
          <w:sz w:val="28"/>
          <w:szCs w:val="28"/>
        </w:rPr>
        <w:t xml:space="preserve">ont été toutes votées à </w:t>
      </w:r>
      <w:r w:rsidRPr="00AD48C5">
        <w:rPr>
          <w:sz w:val="28"/>
          <w:szCs w:val="28"/>
        </w:rPr>
        <w:lastRenderedPageBreak/>
        <w:t xml:space="preserve">la majorité des membres présents ou représentés et  les préoccupations du commissaire aux comptes n’ont nullement été soulevées ou </w:t>
      </w:r>
      <w:r w:rsidR="00DC4304" w:rsidRPr="00AD48C5">
        <w:rPr>
          <w:sz w:val="28"/>
          <w:szCs w:val="28"/>
        </w:rPr>
        <w:t>évoquées,</w:t>
      </w:r>
      <w:r w:rsidR="00E21FA0">
        <w:rPr>
          <w:sz w:val="28"/>
          <w:szCs w:val="28"/>
        </w:rPr>
        <w:t xml:space="preserve"> </w:t>
      </w:r>
      <w:r w:rsidRPr="00AD48C5">
        <w:rPr>
          <w:sz w:val="28"/>
          <w:szCs w:val="28"/>
        </w:rPr>
        <w:t>à l’</w:t>
      </w:r>
      <w:r>
        <w:rPr>
          <w:sz w:val="28"/>
          <w:szCs w:val="28"/>
        </w:rPr>
        <w:t>issue de c</w:t>
      </w:r>
      <w:r w:rsidRPr="00AD48C5">
        <w:rPr>
          <w:sz w:val="28"/>
          <w:szCs w:val="28"/>
        </w:rPr>
        <w:t xml:space="preserve">ette Assemblée Générale Extraordinaire. </w:t>
      </w:r>
    </w:p>
    <w:p w:rsidR="00AD48C5" w:rsidRPr="00257AFB" w:rsidRDefault="00AD48C5" w:rsidP="00AD48C5">
      <w:pPr>
        <w:pStyle w:val="Paragraphedeliste"/>
        <w:ind w:left="3787" w:right="283"/>
        <w:jc w:val="both"/>
        <w:rPr>
          <w:sz w:val="28"/>
          <w:szCs w:val="28"/>
          <w:u w:val="single"/>
        </w:rPr>
      </w:pPr>
    </w:p>
    <w:p w:rsidR="00AD48C5" w:rsidRPr="00AD48C5" w:rsidRDefault="00AD48C5" w:rsidP="003C00AA">
      <w:pPr>
        <w:pStyle w:val="Paragraphedeliste"/>
        <w:numPr>
          <w:ilvl w:val="0"/>
          <w:numId w:val="25"/>
        </w:numPr>
        <w:ind w:right="283"/>
        <w:jc w:val="both"/>
        <w:rPr>
          <w:sz w:val="28"/>
          <w:szCs w:val="28"/>
        </w:rPr>
      </w:pPr>
      <w:r w:rsidRPr="00257AFB">
        <w:rPr>
          <w:sz w:val="28"/>
          <w:szCs w:val="28"/>
          <w:u w:val="single"/>
        </w:rPr>
        <w:t>Les opérations dites  du siège</w:t>
      </w:r>
      <w:r>
        <w:rPr>
          <w:sz w:val="28"/>
          <w:szCs w:val="28"/>
        </w:rPr>
        <w:t xml:space="preserve"> portent principalement sur les résolutions d’Assemblée</w:t>
      </w:r>
      <w:r w:rsidR="00BE5831">
        <w:rPr>
          <w:sz w:val="28"/>
          <w:szCs w:val="28"/>
        </w:rPr>
        <w:t>s</w:t>
      </w:r>
      <w:r>
        <w:rPr>
          <w:sz w:val="28"/>
          <w:szCs w:val="28"/>
        </w:rPr>
        <w:t xml:space="preserve"> Générale</w:t>
      </w:r>
      <w:r w:rsidR="00BE5831">
        <w:rPr>
          <w:sz w:val="28"/>
          <w:szCs w:val="28"/>
        </w:rPr>
        <w:t>s</w:t>
      </w:r>
      <w:r>
        <w:rPr>
          <w:sz w:val="28"/>
          <w:szCs w:val="28"/>
        </w:rPr>
        <w:t xml:space="preserve"> transcrites dans un journal dédié à cet effet distinct des journaux de l’hôtel EL-</w:t>
      </w:r>
      <w:proofErr w:type="spellStart"/>
      <w:r>
        <w:rPr>
          <w:sz w:val="28"/>
          <w:szCs w:val="28"/>
        </w:rPr>
        <w:t>Aurassi</w:t>
      </w:r>
      <w:proofErr w:type="spellEnd"/>
      <w:r>
        <w:rPr>
          <w:sz w:val="28"/>
          <w:szCs w:val="28"/>
        </w:rPr>
        <w:t>.</w:t>
      </w:r>
    </w:p>
    <w:p w:rsidR="00AD48C5" w:rsidRPr="00AD48C5" w:rsidRDefault="00AD48C5" w:rsidP="00AD48C5">
      <w:pPr>
        <w:pStyle w:val="Paragraphedeliste"/>
        <w:rPr>
          <w:sz w:val="28"/>
          <w:szCs w:val="28"/>
        </w:rPr>
      </w:pPr>
    </w:p>
    <w:p w:rsidR="00AD48C5" w:rsidRDefault="00AD48C5" w:rsidP="003C00AA">
      <w:pPr>
        <w:pStyle w:val="Paragraphedeliste"/>
        <w:numPr>
          <w:ilvl w:val="0"/>
          <w:numId w:val="25"/>
        </w:numPr>
        <w:ind w:right="283"/>
        <w:jc w:val="both"/>
        <w:rPr>
          <w:sz w:val="28"/>
          <w:szCs w:val="28"/>
        </w:rPr>
      </w:pPr>
      <w:r w:rsidRPr="00257AFB">
        <w:rPr>
          <w:sz w:val="28"/>
          <w:szCs w:val="28"/>
          <w:u w:val="single"/>
        </w:rPr>
        <w:t>Procédure de gestion</w:t>
      </w:r>
      <w:r>
        <w:rPr>
          <w:sz w:val="28"/>
          <w:szCs w:val="28"/>
        </w:rPr>
        <w:t xml:space="preserve"> : Les procédures de gestion existent, elles </w:t>
      </w:r>
      <w:r w:rsidR="008F1A23">
        <w:rPr>
          <w:sz w:val="28"/>
          <w:szCs w:val="28"/>
        </w:rPr>
        <w:t xml:space="preserve">ont  été </w:t>
      </w:r>
      <w:r>
        <w:rPr>
          <w:sz w:val="28"/>
          <w:szCs w:val="28"/>
        </w:rPr>
        <w:t>regroupées dans un manuel, tel que recommandé par le commissaire aux comptes de l’Entreprise.</w:t>
      </w:r>
    </w:p>
    <w:p w:rsidR="00AD48C5" w:rsidRPr="00AD48C5" w:rsidRDefault="00AD48C5" w:rsidP="00AD48C5">
      <w:pPr>
        <w:pStyle w:val="Paragraphedeliste"/>
        <w:rPr>
          <w:sz w:val="28"/>
          <w:szCs w:val="28"/>
        </w:rPr>
      </w:pPr>
    </w:p>
    <w:p w:rsidR="00AD48C5" w:rsidRDefault="00AD48C5" w:rsidP="003C00AA">
      <w:pPr>
        <w:pStyle w:val="Paragraphedeliste"/>
        <w:numPr>
          <w:ilvl w:val="0"/>
          <w:numId w:val="25"/>
        </w:numPr>
        <w:ind w:right="283"/>
        <w:jc w:val="both"/>
        <w:rPr>
          <w:sz w:val="28"/>
          <w:szCs w:val="28"/>
        </w:rPr>
      </w:pPr>
      <w:r w:rsidRPr="00257AFB">
        <w:rPr>
          <w:sz w:val="28"/>
          <w:szCs w:val="28"/>
          <w:u w:val="single"/>
        </w:rPr>
        <w:t>Procédure comptable et procédure de clôture</w:t>
      </w:r>
      <w:r>
        <w:rPr>
          <w:sz w:val="28"/>
          <w:szCs w:val="28"/>
        </w:rPr>
        <w:t> :</w:t>
      </w:r>
      <w:r w:rsidR="008F1A23">
        <w:rPr>
          <w:sz w:val="28"/>
          <w:szCs w:val="28"/>
        </w:rPr>
        <w:t xml:space="preserve"> Cette procédure est en cours d’élaboration y compris celle relative à la procédure de clôture visée par l’article 19 de la loi n°07-11 du 25 Novembre 2009, portant Système Comptable Financier</w:t>
      </w:r>
      <w:r w:rsidR="000E5DC9">
        <w:rPr>
          <w:sz w:val="28"/>
          <w:szCs w:val="28"/>
        </w:rPr>
        <w:t xml:space="preserve">. Ces procédures, malgré qu’elles soient non écrites, elles sont dans la pratique appliquées et obéissent parfaitement  aux règles </w:t>
      </w:r>
      <w:r w:rsidR="0032479D">
        <w:rPr>
          <w:sz w:val="28"/>
          <w:szCs w:val="28"/>
        </w:rPr>
        <w:t xml:space="preserve">élémentaires </w:t>
      </w:r>
      <w:r w:rsidR="000E5DC9">
        <w:rPr>
          <w:sz w:val="28"/>
          <w:szCs w:val="28"/>
        </w:rPr>
        <w:t>comptables.</w:t>
      </w:r>
    </w:p>
    <w:p w:rsidR="00AD48C5" w:rsidRPr="00AD48C5" w:rsidRDefault="00AD48C5" w:rsidP="00AD48C5">
      <w:pPr>
        <w:pStyle w:val="Paragraphedeliste"/>
        <w:rPr>
          <w:sz w:val="28"/>
          <w:szCs w:val="28"/>
        </w:rPr>
      </w:pPr>
    </w:p>
    <w:p w:rsidR="000E5DC9" w:rsidRDefault="00AD48C5" w:rsidP="003C00AA">
      <w:pPr>
        <w:pStyle w:val="Paragraphedeliste"/>
        <w:numPr>
          <w:ilvl w:val="0"/>
          <w:numId w:val="25"/>
        </w:numPr>
        <w:ind w:right="283"/>
        <w:jc w:val="both"/>
        <w:rPr>
          <w:sz w:val="28"/>
          <w:szCs w:val="28"/>
        </w:rPr>
      </w:pPr>
      <w:r w:rsidRPr="00257AFB">
        <w:rPr>
          <w:sz w:val="28"/>
          <w:szCs w:val="28"/>
          <w:u w:val="single"/>
        </w:rPr>
        <w:t>Validation d’écritures </w:t>
      </w:r>
      <w:r>
        <w:rPr>
          <w:sz w:val="28"/>
          <w:szCs w:val="28"/>
        </w:rPr>
        <w:t>: les règles établies en la matière, depuis de longues années,  imposent que les écritures comptables soient validées par les pers</w:t>
      </w:r>
      <w:r w:rsidR="000E5DC9">
        <w:rPr>
          <w:sz w:val="28"/>
          <w:szCs w:val="28"/>
        </w:rPr>
        <w:t>onnes habilitées et appuyées de</w:t>
      </w:r>
      <w:r>
        <w:rPr>
          <w:sz w:val="28"/>
          <w:szCs w:val="28"/>
        </w:rPr>
        <w:t xml:space="preserve"> pièces justificatives. Le rapport du commissaire aux comptes</w:t>
      </w:r>
      <w:r w:rsidR="000E5DC9">
        <w:rPr>
          <w:sz w:val="28"/>
          <w:szCs w:val="28"/>
        </w:rPr>
        <w:t xml:space="preserve">, en fait mention mais </w:t>
      </w:r>
      <w:r>
        <w:rPr>
          <w:sz w:val="28"/>
          <w:szCs w:val="28"/>
        </w:rPr>
        <w:t xml:space="preserve"> n’identifie pas avec exactitude l’entité</w:t>
      </w:r>
      <w:r w:rsidR="000E5DC9">
        <w:rPr>
          <w:sz w:val="28"/>
          <w:szCs w:val="28"/>
        </w:rPr>
        <w:t xml:space="preserve"> qui serait </w:t>
      </w:r>
      <w:r>
        <w:rPr>
          <w:sz w:val="28"/>
          <w:szCs w:val="28"/>
        </w:rPr>
        <w:t xml:space="preserve"> concernée.</w:t>
      </w:r>
    </w:p>
    <w:p w:rsidR="000E5DC9" w:rsidRPr="000E5DC9" w:rsidRDefault="000E5DC9" w:rsidP="000E5DC9">
      <w:pPr>
        <w:pStyle w:val="Paragraphedeliste"/>
        <w:rPr>
          <w:sz w:val="28"/>
          <w:szCs w:val="28"/>
        </w:rPr>
      </w:pPr>
    </w:p>
    <w:p w:rsidR="000E5DC9" w:rsidRDefault="00AD48C5" w:rsidP="000E5DC9">
      <w:pPr>
        <w:pStyle w:val="Paragraphedeliste"/>
        <w:ind w:left="3787" w:right="283"/>
        <w:jc w:val="both"/>
        <w:rPr>
          <w:sz w:val="28"/>
          <w:szCs w:val="28"/>
        </w:rPr>
      </w:pPr>
      <w:r>
        <w:rPr>
          <w:sz w:val="28"/>
          <w:szCs w:val="28"/>
        </w:rPr>
        <w:t xml:space="preserve"> En tout état de cause, un courrier établi par </w:t>
      </w:r>
      <w:r w:rsidR="00E21FA0">
        <w:rPr>
          <w:sz w:val="28"/>
          <w:szCs w:val="28"/>
        </w:rPr>
        <w:t xml:space="preserve">la structure centrale finances </w:t>
      </w:r>
      <w:r>
        <w:rPr>
          <w:sz w:val="28"/>
          <w:szCs w:val="28"/>
        </w:rPr>
        <w:t xml:space="preserve"> et comptab</w:t>
      </w:r>
      <w:r w:rsidR="00E21FA0">
        <w:rPr>
          <w:sz w:val="28"/>
          <w:szCs w:val="28"/>
        </w:rPr>
        <w:t xml:space="preserve">ilité </w:t>
      </w:r>
      <w:r>
        <w:rPr>
          <w:sz w:val="28"/>
          <w:szCs w:val="28"/>
        </w:rPr>
        <w:t xml:space="preserve"> </w:t>
      </w:r>
      <w:r w:rsidR="000E5DC9">
        <w:rPr>
          <w:sz w:val="28"/>
          <w:szCs w:val="28"/>
        </w:rPr>
        <w:t>est venu</w:t>
      </w:r>
      <w:r w:rsidR="00E21FA0">
        <w:rPr>
          <w:sz w:val="28"/>
          <w:szCs w:val="28"/>
        </w:rPr>
        <w:t>e</w:t>
      </w:r>
      <w:r w:rsidR="000E5DC9">
        <w:rPr>
          <w:sz w:val="28"/>
          <w:szCs w:val="28"/>
        </w:rPr>
        <w:t xml:space="preserve"> rappeler </w:t>
      </w:r>
      <w:r>
        <w:rPr>
          <w:sz w:val="28"/>
          <w:szCs w:val="28"/>
        </w:rPr>
        <w:t xml:space="preserve"> cette exigence qui doit être respectée par tous.</w:t>
      </w:r>
    </w:p>
    <w:p w:rsidR="00AD48C5" w:rsidRDefault="00AD48C5" w:rsidP="0032479D">
      <w:pPr>
        <w:pStyle w:val="Paragraphedeliste"/>
        <w:ind w:left="3787" w:right="283"/>
        <w:jc w:val="both"/>
        <w:rPr>
          <w:sz w:val="28"/>
          <w:szCs w:val="28"/>
        </w:rPr>
      </w:pPr>
      <w:r>
        <w:rPr>
          <w:sz w:val="28"/>
          <w:szCs w:val="28"/>
        </w:rPr>
        <w:t xml:space="preserve"> Pour ce qui est du paramétrage du logiciel Sage, </w:t>
      </w:r>
      <w:r w:rsidR="0032479D">
        <w:rPr>
          <w:sz w:val="28"/>
          <w:szCs w:val="28"/>
        </w:rPr>
        <w:t xml:space="preserve">présent dans </w:t>
      </w:r>
      <w:r w:rsidR="000E5DC9">
        <w:rPr>
          <w:sz w:val="28"/>
          <w:szCs w:val="28"/>
        </w:rPr>
        <w:t xml:space="preserve">de </w:t>
      </w:r>
      <w:r>
        <w:rPr>
          <w:sz w:val="28"/>
          <w:szCs w:val="28"/>
        </w:rPr>
        <w:t xml:space="preserve">grandes entreprises tant </w:t>
      </w:r>
      <w:r w:rsidR="000E5DC9">
        <w:rPr>
          <w:sz w:val="28"/>
          <w:szCs w:val="28"/>
        </w:rPr>
        <w:t>étrangères, que  nationales</w:t>
      </w:r>
      <w:r>
        <w:rPr>
          <w:sz w:val="28"/>
          <w:szCs w:val="28"/>
        </w:rPr>
        <w:t xml:space="preserve">,  il est </w:t>
      </w:r>
      <w:r w:rsidR="000E5DC9">
        <w:rPr>
          <w:sz w:val="28"/>
          <w:szCs w:val="28"/>
        </w:rPr>
        <w:t>opérationnel</w:t>
      </w:r>
      <w:r w:rsidR="0032479D">
        <w:rPr>
          <w:sz w:val="28"/>
          <w:szCs w:val="28"/>
        </w:rPr>
        <w:t xml:space="preserve"> dans l’</w:t>
      </w:r>
      <w:r w:rsidR="000E5DC9">
        <w:rPr>
          <w:sz w:val="28"/>
          <w:szCs w:val="28"/>
        </w:rPr>
        <w:t xml:space="preserve">établissement, depuis l’aire du PCN et aujourd’hui encore avec le SCF. Il </w:t>
      </w:r>
      <w:r>
        <w:rPr>
          <w:sz w:val="28"/>
          <w:szCs w:val="28"/>
        </w:rPr>
        <w:t>offre</w:t>
      </w:r>
      <w:r w:rsidR="0032479D">
        <w:rPr>
          <w:sz w:val="28"/>
          <w:szCs w:val="28"/>
        </w:rPr>
        <w:t xml:space="preserve"> en effet, </w:t>
      </w:r>
      <w:r w:rsidR="000E5DC9">
        <w:rPr>
          <w:sz w:val="28"/>
          <w:szCs w:val="28"/>
        </w:rPr>
        <w:t xml:space="preserve">de multitudes </w:t>
      </w:r>
      <w:r>
        <w:rPr>
          <w:sz w:val="28"/>
          <w:szCs w:val="28"/>
        </w:rPr>
        <w:t>possibilités d’édition</w:t>
      </w:r>
      <w:r w:rsidR="00395C29">
        <w:rPr>
          <w:sz w:val="28"/>
          <w:szCs w:val="28"/>
        </w:rPr>
        <w:t xml:space="preserve">, à la demande des </w:t>
      </w:r>
      <w:r w:rsidR="0032479D">
        <w:rPr>
          <w:sz w:val="28"/>
          <w:szCs w:val="28"/>
        </w:rPr>
        <w:t xml:space="preserve">utilisateurs, </w:t>
      </w:r>
      <w:r w:rsidR="00395C29">
        <w:rPr>
          <w:sz w:val="28"/>
          <w:szCs w:val="28"/>
        </w:rPr>
        <w:t>à l’inverse des autres applicatifs.</w:t>
      </w:r>
      <w:r>
        <w:rPr>
          <w:sz w:val="28"/>
          <w:szCs w:val="28"/>
        </w:rPr>
        <w:t xml:space="preserve"> S’i</w:t>
      </w:r>
      <w:r w:rsidR="00395C29">
        <w:rPr>
          <w:sz w:val="28"/>
          <w:szCs w:val="28"/>
        </w:rPr>
        <w:t xml:space="preserve">l subsiste parfois des méconnaissances ou des incompréhensions, </w:t>
      </w:r>
      <w:r>
        <w:rPr>
          <w:sz w:val="28"/>
          <w:szCs w:val="28"/>
        </w:rPr>
        <w:t xml:space="preserve">elles </w:t>
      </w:r>
      <w:r w:rsidR="00395C29">
        <w:rPr>
          <w:sz w:val="28"/>
          <w:szCs w:val="28"/>
        </w:rPr>
        <w:t xml:space="preserve">pourront </w:t>
      </w:r>
      <w:r>
        <w:rPr>
          <w:sz w:val="28"/>
          <w:szCs w:val="28"/>
        </w:rPr>
        <w:t>aisément être levées.</w:t>
      </w:r>
    </w:p>
    <w:p w:rsidR="00AD48C5" w:rsidRPr="00AD48C5" w:rsidRDefault="00AD48C5" w:rsidP="00AD48C5">
      <w:pPr>
        <w:pStyle w:val="Paragraphedeliste"/>
        <w:rPr>
          <w:sz w:val="28"/>
          <w:szCs w:val="28"/>
        </w:rPr>
      </w:pPr>
    </w:p>
    <w:p w:rsidR="00276744" w:rsidRDefault="00395C29" w:rsidP="003C00AA">
      <w:pPr>
        <w:pStyle w:val="Paragraphedeliste"/>
        <w:numPr>
          <w:ilvl w:val="0"/>
          <w:numId w:val="25"/>
        </w:numPr>
        <w:ind w:right="283"/>
        <w:jc w:val="both"/>
        <w:rPr>
          <w:sz w:val="28"/>
          <w:szCs w:val="28"/>
        </w:rPr>
      </w:pPr>
      <w:r w:rsidRPr="00257AFB">
        <w:rPr>
          <w:sz w:val="28"/>
          <w:szCs w:val="28"/>
          <w:u w:val="single"/>
        </w:rPr>
        <w:lastRenderedPageBreak/>
        <w:t>Gestion des immobilisations</w:t>
      </w:r>
      <w:r>
        <w:rPr>
          <w:sz w:val="28"/>
          <w:szCs w:val="28"/>
        </w:rPr>
        <w:t xml:space="preserve"> : </w:t>
      </w:r>
      <w:r w:rsidR="00AD48C5">
        <w:rPr>
          <w:sz w:val="28"/>
          <w:szCs w:val="28"/>
        </w:rPr>
        <w:t>L’obligation  d’effectuer des inventaires semestriels  n’est nullement prévue, au regard de la loi N°07-11 du  25 Novemb</w:t>
      </w:r>
      <w:r w:rsidR="008E648D">
        <w:rPr>
          <w:sz w:val="28"/>
          <w:szCs w:val="28"/>
        </w:rPr>
        <w:t xml:space="preserve">re 2007, portant Système Comptable Financier, de l’Ordonnance N° 75-59 du 26 Septembre 1975, portant code de commerce, modifié et complété,  </w:t>
      </w:r>
      <w:r>
        <w:rPr>
          <w:sz w:val="28"/>
          <w:szCs w:val="28"/>
        </w:rPr>
        <w:t xml:space="preserve">ainsi </w:t>
      </w:r>
      <w:r w:rsidR="008E648D">
        <w:rPr>
          <w:sz w:val="28"/>
          <w:szCs w:val="28"/>
        </w:rPr>
        <w:t xml:space="preserve">que du règlement COSOB N°2000-02 </w:t>
      </w:r>
      <w:r w:rsidR="00AD48C5">
        <w:rPr>
          <w:sz w:val="28"/>
          <w:szCs w:val="28"/>
        </w:rPr>
        <w:t xml:space="preserve">du </w:t>
      </w:r>
      <w:r w:rsidR="008E648D">
        <w:rPr>
          <w:sz w:val="28"/>
          <w:szCs w:val="28"/>
        </w:rPr>
        <w:t>20 Janvier 2000, relatif à l’information à publier par les sociétés dont les valeurs sont cotées en bourse.</w:t>
      </w:r>
    </w:p>
    <w:p w:rsidR="00276744" w:rsidRDefault="00276744" w:rsidP="00276744">
      <w:pPr>
        <w:pStyle w:val="Paragraphedeliste"/>
        <w:ind w:left="3787" w:right="283"/>
        <w:jc w:val="both"/>
        <w:rPr>
          <w:sz w:val="28"/>
          <w:szCs w:val="28"/>
        </w:rPr>
      </w:pPr>
    </w:p>
    <w:p w:rsidR="0032479D" w:rsidRPr="0032479D" w:rsidRDefault="00395C29" w:rsidP="0032479D">
      <w:pPr>
        <w:pStyle w:val="Paragraphedeliste"/>
        <w:ind w:left="3787" w:right="283"/>
        <w:jc w:val="both"/>
        <w:rPr>
          <w:sz w:val="28"/>
          <w:szCs w:val="28"/>
        </w:rPr>
      </w:pPr>
      <w:r>
        <w:rPr>
          <w:sz w:val="28"/>
          <w:szCs w:val="28"/>
        </w:rPr>
        <w:t xml:space="preserve">L’entreprise  </w:t>
      </w:r>
      <w:r w:rsidR="00276744">
        <w:rPr>
          <w:sz w:val="28"/>
          <w:szCs w:val="28"/>
        </w:rPr>
        <w:t xml:space="preserve">opère </w:t>
      </w:r>
      <w:r>
        <w:rPr>
          <w:sz w:val="28"/>
          <w:szCs w:val="28"/>
        </w:rPr>
        <w:t xml:space="preserve">en </w:t>
      </w:r>
      <w:r w:rsidR="00276744">
        <w:rPr>
          <w:sz w:val="28"/>
          <w:szCs w:val="28"/>
        </w:rPr>
        <w:t xml:space="preserve">règle générale et depuis son introduction en bourse à une vérification </w:t>
      </w:r>
      <w:r w:rsidR="00E21FA0">
        <w:rPr>
          <w:sz w:val="28"/>
          <w:szCs w:val="28"/>
        </w:rPr>
        <w:t xml:space="preserve">des </w:t>
      </w:r>
      <w:r w:rsidR="00276744">
        <w:rPr>
          <w:sz w:val="28"/>
          <w:szCs w:val="28"/>
        </w:rPr>
        <w:t>stocks par échantillon</w:t>
      </w:r>
      <w:r w:rsidR="00E21FA0">
        <w:rPr>
          <w:sz w:val="28"/>
          <w:szCs w:val="28"/>
        </w:rPr>
        <w:t xml:space="preserve">nage, </w:t>
      </w:r>
      <w:r w:rsidR="00276744">
        <w:rPr>
          <w:sz w:val="28"/>
          <w:szCs w:val="28"/>
        </w:rPr>
        <w:t xml:space="preserve"> sur les produits les plus usités, sans oublier d’indiquer que les stocks de denrées périssables font l’obje</w:t>
      </w:r>
      <w:r w:rsidR="0032479D">
        <w:rPr>
          <w:sz w:val="28"/>
          <w:szCs w:val="28"/>
        </w:rPr>
        <w:t>t mensuellement d’un inventaire physique.</w:t>
      </w:r>
    </w:p>
    <w:p w:rsidR="008E648D" w:rsidRPr="008E648D" w:rsidRDefault="008E648D" w:rsidP="008E648D">
      <w:pPr>
        <w:pStyle w:val="Paragraphedeliste"/>
        <w:rPr>
          <w:sz w:val="28"/>
          <w:szCs w:val="28"/>
        </w:rPr>
      </w:pPr>
    </w:p>
    <w:p w:rsidR="00276744" w:rsidRDefault="008E648D" w:rsidP="003C00AA">
      <w:pPr>
        <w:pStyle w:val="Paragraphedeliste"/>
        <w:numPr>
          <w:ilvl w:val="0"/>
          <w:numId w:val="25"/>
        </w:numPr>
        <w:ind w:right="283"/>
        <w:jc w:val="both"/>
        <w:rPr>
          <w:sz w:val="28"/>
          <w:szCs w:val="28"/>
        </w:rPr>
      </w:pPr>
      <w:r w:rsidRPr="00257AFB">
        <w:rPr>
          <w:sz w:val="28"/>
          <w:szCs w:val="28"/>
          <w:u w:val="single"/>
        </w:rPr>
        <w:t>Les écarts d’inventair</w:t>
      </w:r>
      <w:r w:rsidR="00276744" w:rsidRPr="00257AFB">
        <w:rPr>
          <w:sz w:val="28"/>
          <w:szCs w:val="28"/>
          <w:u w:val="single"/>
        </w:rPr>
        <w:t>e affichés au 31 Décembre 2021</w:t>
      </w:r>
      <w:r w:rsidR="00276744">
        <w:rPr>
          <w:sz w:val="28"/>
          <w:szCs w:val="28"/>
        </w:rPr>
        <w:t> totalisent un montant global de 3.897.259,34 DA ventilé comme suit :</w:t>
      </w:r>
    </w:p>
    <w:p w:rsidR="00276744" w:rsidRDefault="002229BF" w:rsidP="003C00AA">
      <w:pPr>
        <w:pStyle w:val="Paragraphedeliste"/>
        <w:numPr>
          <w:ilvl w:val="0"/>
          <w:numId w:val="28"/>
        </w:numPr>
        <w:ind w:right="283"/>
        <w:jc w:val="both"/>
        <w:rPr>
          <w:sz w:val="28"/>
          <w:szCs w:val="28"/>
        </w:rPr>
      </w:pPr>
      <w:r>
        <w:rPr>
          <w:sz w:val="28"/>
          <w:szCs w:val="28"/>
        </w:rPr>
        <w:t>Unité EL-Aurassi</w:t>
      </w:r>
      <w:r w:rsidR="00276744">
        <w:rPr>
          <w:sz w:val="28"/>
          <w:szCs w:val="28"/>
        </w:rPr>
        <w:t>456.902,20 DA</w:t>
      </w:r>
    </w:p>
    <w:p w:rsidR="00276744" w:rsidRDefault="00276744" w:rsidP="002229BF">
      <w:pPr>
        <w:pStyle w:val="Paragraphedeliste"/>
        <w:numPr>
          <w:ilvl w:val="0"/>
          <w:numId w:val="28"/>
        </w:numPr>
        <w:ind w:right="283"/>
        <w:jc w:val="both"/>
        <w:rPr>
          <w:sz w:val="28"/>
          <w:szCs w:val="28"/>
        </w:rPr>
      </w:pPr>
      <w:r>
        <w:rPr>
          <w:sz w:val="28"/>
          <w:szCs w:val="28"/>
        </w:rPr>
        <w:t xml:space="preserve">Unité </w:t>
      </w:r>
      <w:proofErr w:type="spellStart"/>
      <w:r>
        <w:rPr>
          <w:sz w:val="28"/>
          <w:szCs w:val="28"/>
        </w:rPr>
        <w:t>Mehri</w:t>
      </w:r>
      <w:proofErr w:type="spellEnd"/>
      <w:r w:rsidR="002229BF">
        <w:rPr>
          <w:sz w:val="28"/>
          <w:szCs w:val="28"/>
        </w:rPr>
        <w:t xml:space="preserve"> 1</w:t>
      </w:r>
      <w:r>
        <w:rPr>
          <w:sz w:val="28"/>
          <w:szCs w:val="28"/>
        </w:rPr>
        <w:t>.</w:t>
      </w:r>
      <w:r w:rsidR="002229BF">
        <w:rPr>
          <w:sz w:val="28"/>
          <w:szCs w:val="28"/>
        </w:rPr>
        <w:t>119</w:t>
      </w:r>
      <w:r>
        <w:rPr>
          <w:sz w:val="28"/>
          <w:szCs w:val="28"/>
        </w:rPr>
        <w:t>.</w:t>
      </w:r>
      <w:r w:rsidR="002229BF">
        <w:rPr>
          <w:sz w:val="28"/>
          <w:szCs w:val="28"/>
        </w:rPr>
        <w:t>296</w:t>
      </w:r>
      <w:r>
        <w:rPr>
          <w:sz w:val="28"/>
          <w:szCs w:val="28"/>
        </w:rPr>
        <w:t>,</w:t>
      </w:r>
      <w:r w:rsidR="002229BF">
        <w:rPr>
          <w:sz w:val="28"/>
          <w:szCs w:val="28"/>
        </w:rPr>
        <w:t>86</w:t>
      </w:r>
      <w:r>
        <w:rPr>
          <w:sz w:val="28"/>
          <w:szCs w:val="28"/>
        </w:rPr>
        <w:t xml:space="preserve"> DA</w:t>
      </w:r>
    </w:p>
    <w:p w:rsidR="00276744" w:rsidRDefault="00276744" w:rsidP="003C00AA">
      <w:pPr>
        <w:pStyle w:val="Paragraphedeliste"/>
        <w:numPr>
          <w:ilvl w:val="0"/>
          <w:numId w:val="28"/>
        </w:numPr>
        <w:ind w:right="283"/>
        <w:jc w:val="both"/>
        <w:rPr>
          <w:sz w:val="28"/>
          <w:szCs w:val="28"/>
        </w:rPr>
      </w:pPr>
      <w:r>
        <w:rPr>
          <w:sz w:val="28"/>
          <w:szCs w:val="28"/>
        </w:rPr>
        <w:t>Unité EL-</w:t>
      </w:r>
      <w:proofErr w:type="spellStart"/>
      <w:r>
        <w:rPr>
          <w:sz w:val="28"/>
          <w:szCs w:val="28"/>
        </w:rPr>
        <w:t>Boustène</w:t>
      </w:r>
      <w:proofErr w:type="spellEnd"/>
      <w:r>
        <w:rPr>
          <w:sz w:val="28"/>
          <w:szCs w:val="28"/>
        </w:rPr>
        <w:t xml:space="preserve">    2.421.060,28 DA</w:t>
      </w:r>
    </w:p>
    <w:p w:rsidR="00276744" w:rsidRDefault="00276744" w:rsidP="00276744">
      <w:pPr>
        <w:pStyle w:val="Paragraphedeliste"/>
        <w:ind w:left="5332" w:right="283"/>
        <w:jc w:val="both"/>
        <w:rPr>
          <w:sz w:val="28"/>
          <w:szCs w:val="28"/>
        </w:rPr>
      </w:pPr>
    </w:p>
    <w:p w:rsidR="008E648D" w:rsidRDefault="00276744" w:rsidP="003C00AA">
      <w:pPr>
        <w:pStyle w:val="Paragraphedeliste"/>
        <w:numPr>
          <w:ilvl w:val="0"/>
          <w:numId w:val="25"/>
        </w:numPr>
        <w:ind w:right="283"/>
        <w:jc w:val="both"/>
        <w:rPr>
          <w:sz w:val="28"/>
          <w:szCs w:val="28"/>
        </w:rPr>
      </w:pPr>
      <w:r w:rsidRPr="00257AFB">
        <w:rPr>
          <w:sz w:val="28"/>
          <w:szCs w:val="28"/>
          <w:u w:val="single"/>
        </w:rPr>
        <w:t>L’écart concernant l’unité EL-</w:t>
      </w:r>
      <w:proofErr w:type="spellStart"/>
      <w:r w:rsidRPr="00257AFB">
        <w:rPr>
          <w:sz w:val="28"/>
          <w:szCs w:val="28"/>
          <w:u w:val="single"/>
        </w:rPr>
        <w:t>Boustène</w:t>
      </w:r>
      <w:proofErr w:type="spellEnd"/>
      <w:r>
        <w:rPr>
          <w:sz w:val="28"/>
          <w:szCs w:val="28"/>
        </w:rPr>
        <w:t xml:space="preserve"> comprend le vol </w:t>
      </w:r>
      <w:r w:rsidR="008E648D" w:rsidRPr="00276744">
        <w:rPr>
          <w:sz w:val="28"/>
          <w:szCs w:val="28"/>
        </w:rPr>
        <w:t xml:space="preserve">d’une machine à café </w:t>
      </w:r>
      <w:r w:rsidR="00C86D5A" w:rsidRPr="00276744">
        <w:rPr>
          <w:sz w:val="28"/>
          <w:szCs w:val="28"/>
        </w:rPr>
        <w:t xml:space="preserve">de marque CONTI, </w:t>
      </w:r>
      <w:r w:rsidR="00DC3722" w:rsidRPr="00276744">
        <w:rPr>
          <w:sz w:val="28"/>
          <w:szCs w:val="28"/>
        </w:rPr>
        <w:t xml:space="preserve">d’un montant de 590.137,92 </w:t>
      </w:r>
      <w:r w:rsidR="00AE3470" w:rsidRPr="00276744">
        <w:rPr>
          <w:sz w:val="28"/>
          <w:szCs w:val="28"/>
        </w:rPr>
        <w:t>DA</w:t>
      </w:r>
      <w:r w:rsidR="00AE3470">
        <w:rPr>
          <w:sz w:val="28"/>
          <w:szCs w:val="28"/>
        </w:rPr>
        <w:t>, confirmé</w:t>
      </w:r>
      <w:r w:rsidR="0032479D">
        <w:rPr>
          <w:sz w:val="28"/>
          <w:szCs w:val="28"/>
        </w:rPr>
        <w:t xml:space="preserve">, comme exigé par le commissaire aux comptes, </w:t>
      </w:r>
      <w:r w:rsidR="00DC3722" w:rsidRPr="00276744">
        <w:rPr>
          <w:sz w:val="28"/>
          <w:szCs w:val="28"/>
        </w:rPr>
        <w:t xml:space="preserve"> par une déclaration </w:t>
      </w:r>
      <w:r w:rsidR="00C86D5A" w:rsidRPr="00276744">
        <w:rPr>
          <w:sz w:val="28"/>
          <w:szCs w:val="28"/>
        </w:rPr>
        <w:t>introduite entre les mains</w:t>
      </w:r>
      <w:r w:rsidR="00E21FA0">
        <w:rPr>
          <w:sz w:val="28"/>
          <w:szCs w:val="28"/>
        </w:rPr>
        <w:t xml:space="preserve"> du procureur de  la république, </w:t>
      </w:r>
      <w:r w:rsidR="00C86D5A" w:rsidRPr="00276744">
        <w:rPr>
          <w:sz w:val="28"/>
          <w:szCs w:val="28"/>
        </w:rPr>
        <w:t>en date du 06 Juillet 2022 sous la référence N°7128/22.</w:t>
      </w:r>
    </w:p>
    <w:p w:rsidR="00751B61" w:rsidRDefault="00751B61" w:rsidP="00751B61">
      <w:pPr>
        <w:pStyle w:val="Paragraphedeliste"/>
        <w:ind w:left="3787" w:right="283"/>
        <w:jc w:val="both"/>
        <w:rPr>
          <w:sz w:val="28"/>
          <w:szCs w:val="28"/>
        </w:rPr>
      </w:pPr>
    </w:p>
    <w:p w:rsidR="00215FF8" w:rsidRDefault="00751B61" w:rsidP="00D24FC1">
      <w:pPr>
        <w:pStyle w:val="Paragraphedeliste"/>
        <w:numPr>
          <w:ilvl w:val="0"/>
          <w:numId w:val="25"/>
        </w:numPr>
        <w:ind w:right="283"/>
        <w:jc w:val="both"/>
        <w:rPr>
          <w:sz w:val="28"/>
          <w:szCs w:val="28"/>
        </w:rPr>
      </w:pPr>
      <w:r w:rsidRPr="00257AFB">
        <w:rPr>
          <w:sz w:val="28"/>
          <w:szCs w:val="28"/>
          <w:u w:val="single"/>
        </w:rPr>
        <w:t>La gestion des stocks en roulement</w:t>
      </w:r>
      <w:r>
        <w:rPr>
          <w:sz w:val="28"/>
          <w:szCs w:val="28"/>
        </w:rPr>
        <w:t> : Il s’agit des stocks de linge en roulement et autres articles en circulation valorisé</w:t>
      </w:r>
      <w:r w:rsidR="0032479D">
        <w:rPr>
          <w:sz w:val="28"/>
          <w:szCs w:val="28"/>
        </w:rPr>
        <w:t>s</w:t>
      </w:r>
      <w:r>
        <w:rPr>
          <w:sz w:val="28"/>
          <w:szCs w:val="28"/>
        </w:rPr>
        <w:t xml:space="preserve"> au CUMP. Selon la remarque du commissaire aux comptes, ce stock serait anormalement valorisé au prix du neuf. Aussi pour une normalisation du traitement de cette situation</w:t>
      </w:r>
      <w:r w:rsidR="00215FF8">
        <w:rPr>
          <w:sz w:val="28"/>
          <w:szCs w:val="28"/>
        </w:rPr>
        <w:t xml:space="preserve">, à l’échelle du Groupe, visant principalement le linge en roulement, </w:t>
      </w:r>
      <w:r>
        <w:rPr>
          <w:sz w:val="28"/>
          <w:szCs w:val="28"/>
        </w:rPr>
        <w:t xml:space="preserve"> une </w:t>
      </w:r>
      <w:r w:rsidR="00D24FC1">
        <w:rPr>
          <w:sz w:val="28"/>
          <w:szCs w:val="28"/>
        </w:rPr>
        <w:t xml:space="preserve">réflexion </w:t>
      </w:r>
      <w:r w:rsidR="0032479D">
        <w:rPr>
          <w:sz w:val="28"/>
          <w:szCs w:val="28"/>
        </w:rPr>
        <w:t>a déjà été formulée au Groupe HTT , qui doit être</w:t>
      </w:r>
      <w:r w:rsidR="00D24FC1">
        <w:rPr>
          <w:sz w:val="28"/>
          <w:szCs w:val="28"/>
        </w:rPr>
        <w:t xml:space="preserve"> murie et </w:t>
      </w:r>
      <w:r w:rsidR="0032479D">
        <w:rPr>
          <w:sz w:val="28"/>
          <w:szCs w:val="28"/>
        </w:rPr>
        <w:t xml:space="preserve"> menée</w:t>
      </w:r>
      <w:r>
        <w:rPr>
          <w:sz w:val="28"/>
          <w:szCs w:val="28"/>
        </w:rPr>
        <w:t xml:space="preserve"> dans ce sens </w:t>
      </w:r>
      <w:r w:rsidR="0032479D">
        <w:rPr>
          <w:sz w:val="28"/>
          <w:szCs w:val="28"/>
        </w:rPr>
        <w:t xml:space="preserve">, </w:t>
      </w:r>
      <w:r>
        <w:rPr>
          <w:sz w:val="28"/>
          <w:szCs w:val="28"/>
        </w:rPr>
        <w:t xml:space="preserve">par un comité </w:t>
      </w:r>
      <w:r w:rsidR="00215FF8">
        <w:rPr>
          <w:sz w:val="28"/>
          <w:szCs w:val="28"/>
        </w:rPr>
        <w:t>représentatif des filiales à créer</w:t>
      </w:r>
      <w:r w:rsidR="0032479D">
        <w:rPr>
          <w:sz w:val="28"/>
          <w:szCs w:val="28"/>
        </w:rPr>
        <w:t>, en vue de l’élaboration d’une</w:t>
      </w:r>
      <w:r>
        <w:rPr>
          <w:sz w:val="28"/>
          <w:szCs w:val="28"/>
        </w:rPr>
        <w:t xml:space="preserve"> procédure de traitement</w:t>
      </w:r>
      <w:r w:rsidR="0032479D">
        <w:rPr>
          <w:sz w:val="28"/>
          <w:szCs w:val="28"/>
        </w:rPr>
        <w:t xml:space="preserve"> de cette particularité du linge à valider</w:t>
      </w:r>
      <w:r w:rsidR="00E21FA0">
        <w:rPr>
          <w:sz w:val="28"/>
          <w:szCs w:val="28"/>
        </w:rPr>
        <w:t xml:space="preserve"> </w:t>
      </w:r>
      <w:r w:rsidR="00D24FC1">
        <w:rPr>
          <w:sz w:val="28"/>
          <w:szCs w:val="28"/>
        </w:rPr>
        <w:t xml:space="preserve">évidemment </w:t>
      </w:r>
      <w:r w:rsidR="00215FF8">
        <w:rPr>
          <w:sz w:val="28"/>
          <w:szCs w:val="28"/>
        </w:rPr>
        <w:t>par les Conseils d’Administration des Entreprises du portefeuille du Groupe HTT.</w:t>
      </w:r>
    </w:p>
    <w:p w:rsidR="00215FF8" w:rsidRDefault="00215FF8" w:rsidP="00215FF8">
      <w:pPr>
        <w:pStyle w:val="Paragraphedeliste"/>
        <w:rPr>
          <w:sz w:val="28"/>
          <w:szCs w:val="28"/>
        </w:rPr>
      </w:pPr>
    </w:p>
    <w:p w:rsidR="00D24FC1" w:rsidRDefault="00D24FC1" w:rsidP="00215FF8">
      <w:pPr>
        <w:pStyle w:val="Paragraphedeliste"/>
        <w:rPr>
          <w:sz w:val="28"/>
          <w:szCs w:val="28"/>
        </w:rPr>
      </w:pPr>
    </w:p>
    <w:p w:rsidR="00D24FC1" w:rsidRPr="00215FF8" w:rsidRDefault="00D24FC1" w:rsidP="00215FF8">
      <w:pPr>
        <w:pStyle w:val="Paragraphedeliste"/>
        <w:rPr>
          <w:sz w:val="28"/>
          <w:szCs w:val="28"/>
        </w:rPr>
      </w:pPr>
    </w:p>
    <w:p w:rsidR="00751B61" w:rsidRDefault="00215FF8" w:rsidP="003C00AA">
      <w:pPr>
        <w:pStyle w:val="Paragraphedeliste"/>
        <w:numPr>
          <w:ilvl w:val="0"/>
          <w:numId w:val="25"/>
        </w:numPr>
        <w:ind w:right="283"/>
        <w:jc w:val="both"/>
        <w:rPr>
          <w:sz w:val="28"/>
          <w:szCs w:val="28"/>
        </w:rPr>
      </w:pPr>
      <w:r w:rsidRPr="00257AFB">
        <w:rPr>
          <w:sz w:val="28"/>
          <w:szCs w:val="28"/>
          <w:u w:val="single"/>
        </w:rPr>
        <w:t>Ecarts d’inventaire</w:t>
      </w:r>
      <w:r w:rsidR="00156A4E" w:rsidRPr="00257AFB">
        <w:rPr>
          <w:sz w:val="28"/>
          <w:szCs w:val="28"/>
          <w:u w:val="single"/>
        </w:rPr>
        <w:t>s</w:t>
      </w:r>
      <w:r w:rsidRPr="00257AFB">
        <w:rPr>
          <w:sz w:val="28"/>
          <w:szCs w:val="28"/>
          <w:u w:val="single"/>
        </w:rPr>
        <w:t xml:space="preserve"> des stocks</w:t>
      </w:r>
      <w:r>
        <w:rPr>
          <w:sz w:val="28"/>
          <w:szCs w:val="28"/>
        </w:rPr>
        <w:t xml:space="preserve"> : </w:t>
      </w:r>
      <w:r w:rsidR="00156A4E">
        <w:rPr>
          <w:sz w:val="28"/>
          <w:szCs w:val="28"/>
        </w:rPr>
        <w:t>D’un montant global de 33.660.664,35 DA, cet écart a fait l’objet d’un examen par le Conseil d’Administration de l’Entreprise en sa séance du 26 Avril 2022, une perte de valeur a été constituée à la date du 31 Décembre 2021, sur les recommandations du commissaire aux comptes pour un montant global de 32.853.606,50 DA. L’écart global est  ventilé par unité, comme suit :</w:t>
      </w:r>
    </w:p>
    <w:p w:rsidR="00156A4E" w:rsidRPr="00156A4E" w:rsidRDefault="00156A4E" w:rsidP="00156A4E">
      <w:pPr>
        <w:pStyle w:val="Paragraphedeliste"/>
        <w:rPr>
          <w:sz w:val="28"/>
          <w:szCs w:val="28"/>
        </w:rPr>
      </w:pPr>
    </w:p>
    <w:p w:rsidR="00156A4E" w:rsidRDefault="00156A4E" w:rsidP="003C00AA">
      <w:pPr>
        <w:pStyle w:val="Paragraphedeliste"/>
        <w:numPr>
          <w:ilvl w:val="0"/>
          <w:numId w:val="29"/>
        </w:numPr>
        <w:ind w:right="283"/>
        <w:jc w:val="both"/>
        <w:rPr>
          <w:sz w:val="28"/>
          <w:szCs w:val="28"/>
        </w:rPr>
      </w:pPr>
      <w:r>
        <w:rPr>
          <w:sz w:val="28"/>
          <w:szCs w:val="28"/>
        </w:rPr>
        <w:t>Hôtel EL-</w:t>
      </w:r>
      <w:proofErr w:type="spellStart"/>
      <w:r>
        <w:rPr>
          <w:sz w:val="28"/>
          <w:szCs w:val="28"/>
        </w:rPr>
        <w:t>Aurassi</w:t>
      </w:r>
      <w:proofErr w:type="spellEnd"/>
      <w:r>
        <w:rPr>
          <w:sz w:val="28"/>
          <w:szCs w:val="28"/>
        </w:rPr>
        <w:t xml:space="preserve">            16.776.330,90 DA</w:t>
      </w:r>
    </w:p>
    <w:p w:rsidR="00156A4E" w:rsidRDefault="00156A4E" w:rsidP="003C00AA">
      <w:pPr>
        <w:pStyle w:val="Paragraphedeliste"/>
        <w:numPr>
          <w:ilvl w:val="0"/>
          <w:numId w:val="29"/>
        </w:numPr>
        <w:ind w:right="283"/>
        <w:jc w:val="both"/>
        <w:rPr>
          <w:sz w:val="28"/>
          <w:szCs w:val="28"/>
        </w:rPr>
      </w:pPr>
      <w:r>
        <w:rPr>
          <w:sz w:val="28"/>
          <w:szCs w:val="28"/>
        </w:rPr>
        <w:t>Hôtel EL-</w:t>
      </w:r>
      <w:proofErr w:type="spellStart"/>
      <w:r>
        <w:rPr>
          <w:sz w:val="28"/>
          <w:szCs w:val="28"/>
        </w:rPr>
        <w:t>Boustène</w:t>
      </w:r>
      <w:proofErr w:type="spellEnd"/>
      <w:r>
        <w:rPr>
          <w:sz w:val="28"/>
          <w:szCs w:val="28"/>
        </w:rPr>
        <w:t xml:space="preserve">            5.631.080,24 DA</w:t>
      </w:r>
    </w:p>
    <w:p w:rsidR="00156A4E" w:rsidRDefault="00156A4E" w:rsidP="003C00AA">
      <w:pPr>
        <w:pStyle w:val="Paragraphedeliste"/>
        <w:numPr>
          <w:ilvl w:val="0"/>
          <w:numId w:val="29"/>
        </w:numPr>
        <w:ind w:right="283"/>
        <w:jc w:val="both"/>
        <w:rPr>
          <w:sz w:val="28"/>
          <w:szCs w:val="28"/>
        </w:rPr>
      </w:pPr>
      <w:r>
        <w:rPr>
          <w:sz w:val="28"/>
          <w:szCs w:val="28"/>
        </w:rPr>
        <w:t xml:space="preserve">Hôtel </w:t>
      </w:r>
      <w:proofErr w:type="spellStart"/>
      <w:r>
        <w:rPr>
          <w:sz w:val="28"/>
          <w:szCs w:val="28"/>
        </w:rPr>
        <w:t>Mehri</w:t>
      </w:r>
      <w:proofErr w:type="spellEnd"/>
      <w:r>
        <w:rPr>
          <w:sz w:val="28"/>
          <w:szCs w:val="28"/>
        </w:rPr>
        <w:t xml:space="preserve">                     11.253.253,21 DA</w:t>
      </w:r>
    </w:p>
    <w:p w:rsidR="00B020F5" w:rsidRPr="00B020F5" w:rsidRDefault="00B020F5" w:rsidP="00B020F5">
      <w:pPr>
        <w:ind w:left="4237" w:right="283"/>
        <w:jc w:val="both"/>
        <w:rPr>
          <w:sz w:val="28"/>
          <w:szCs w:val="28"/>
        </w:rPr>
      </w:pPr>
    </w:p>
    <w:p w:rsidR="00B020F5" w:rsidRDefault="00B020F5" w:rsidP="00B020F5">
      <w:pPr>
        <w:pStyle w:val="Paragraphedeliste"/>
        <w:ind w:left="3787" w:right="283"/>
        <w:jc w:val="both"/>
        <w:rPr>
          <w:sz w:val="28"/>
          <w:szCs w:val="28"/>
        </w:rPr>
      </w:pPr>
      <w:r>
        <w:rPr>
          <w:sz w:val="28"/>
          <w:szCs w:val="28"/>
        </w:rPr>
        <w:t>Les structures centrales de l’entreprise ainsi que les directeurs d’hôtel du Sud concernés par cette situation ont été saisis par courrier du 19 Juin 2022</w:t>
      </w:r>
      <w:r w:rsidR="00D24FC1">
        <w:rPr>
          <w:sz w:val="28"/>
          <w:szCs w:val="28"/>
        </w:rPr>
        <w:t xml:space="preserve"> suivi d’autres courriers, </w:t>
      </w:r>
      <w:r>
        <w:rPr>
          <w:sz w:val="28"/>
          <w:szCs w:val="28"/>
        </w:rPr>
        <w:t xml:space="preserve"> à l’effet de prendre en charge , pour chacun, en ce qui le concerne et  conformément à la résolution de l’Assemblée Générale des Actionnaires tenue le 14 Juin 2022, les remarques, les observations et les recommandations émises par le commissaire aux comptes. </w:t>
      </w:r>
    </w:p>
    <w:p w:rsidR="00B020F5" w:rsidRDefault="00B020F5" w:rsidP="00B020F5">
      <w:pPr>
        <w:pStyle w:val="Paragraphedeliste"/>
        <w:ind w:left="3787" w:right="283"/>
        <w:jc w:val="both"/>
        <w:rPr>
          <w:sz w:val="28"/>
          <w:szCs w:val="28"/>
        </w:rPr>
      </w:pPr>
      <w:r>
        <w:rPr>
          <w:sz w:val="28"/>
          <w:szCs w:val="28"/>
        </w:rPr>
        <w:t>Les propositions émanantdes structures centrales et des directeurs d’hôtel du Sud portant sur les  retraitements, les assainissements et les apurements de ces situations sont attendues.</w:t>
      </w:r>
    </w:p>
    <w:p w:rsidR="003C00AA" w:rsidRDefault="003C00AA" w:rsidP="00B020F5">
      <w:pPr>
        <w:pStyle w:val="Paragraphedeliste"/>
        <w:ind w:left="3787" w:right="283"/>
        <w:jc w:val="both"/>
        <w:rPr>
          <w:sz w:val="28"/>
          <w:szCs w:val="28"/>
        </w:rPr>
      </w:pPr>
    </w:p>
    <w:p w:rsidR="003C58E9" w:rsidRDefault="003C00AA" w:rsidP="004C5E58">
      <w:pPr>
        <w:pStyle w:val="Paragraphedeliste"/>
        <w:numPr>
          <w:ilvl w:val="0"/>
          <w:numId w:val="30"/>
        </w:numPr>
        <w:tabs>
          <w:tab w:val="left" w:pos="3497"/>
        </w:tabs>
        <w:ind w:right="283"/>
        <w:jc w:val="both"/>
        <w:rPr>
          <w:sz w:val="28"/>
          <w:szCs w:val="28"/>
        </w:rPr>
      </w:pPr>
      <w:r w:rsidRPr="00257AFB">
        <w:rPr>
          <w:sz w:val="28"/>
          <w:szCs w:val="28"/>
          <w:u w:val="single"/>
        </w:rPr>
        <w:t>La gestion des comptes de tiers </w:t>
      </w:r>
      <w:r>
        <w:rPr>
          <w:sz w:val="28"/>
          <w:szCs w:val="28"/>
        </w:rPr>
        <w:t>: Cette gestion vise principalement les créances débiteurs ville et débiteurs hôtel comptabilisées en clients douteux. Il s’agit notamme</w:t>
      </w:r>
      <w:r w:rsidR="00004771">
        <w:rPr>
          <w:sz w:val="28"/>
          <w:szCs w:val="28"/>
        </w:rPr>
        <w:t xml:space="preserve">nt de la créance </w:t>
      </w:r>
      <w:r>
        <w:rPr>
          <w:sz w:val="28"/>
          <w:szCs w:val="28"/>
        </w:rPr>
        <w:t xml:space="preserve"> détenue sur la Wilaya de Béchar</w:t>
      </w:r>
      <w:r w:rsidR="00004771">
        <w:rPr>
          <w:sz w:val="28"/>
          <w:szCs w:val="28"/>
        </w:rPr>
        <w:t xml:space="preserve">,  à la suite d’une </w:t>
      </w:r>
      <w:r>
        <w:rPr>
          <w:sz w:val="28"/>
          <w:szCs w:val="28"/>
        </w:rPr>
        <w:t xml:space="preserve"> réquisition de Mr Le Wali</w:t>
      </w:r>
      <w:r w:rsidR="00004771">
        <w:rPr>
          <w:sz w:val="28"/>
          <w:szCs w:val="28"/>
        </w:rPr>
        <w:t xml:space="preserve"> référencée sous le N°510 du 04 Mai </w:t>
      </w:r>
      <w:r w:rsidR="00D24FC1">
        <w:rPr>
          <w:sz w:val="28"/>
          <w:szCs w:val="28"/>
        </w:rPr>
        <w:t xml:space="preserve">2021, à l’effet d’héberger, sur </w:t>
      </w:r>
      <w:r w:rsidR="00004771">
        <w:rPr>
          <w:sz w:val="28"/>
          <w:szCs w:val="28"/>
        </w:rPr>
        <w:t>des périodes différentes, le personnel para médical de l’hôpital de Béni- Abbés, dont le montant des séjours impa</w:t>
      </w:r>
      <w:r w:rsidR="00D24FC1">
        <w:rPr>
          <w:sz w:val="28"/>
          <w:szCs w:val="28"/>
        </w:rPr>
        <w:t>yés s’élève à 152.147.122,56 DA. L</w:t>
      </w:r>
      <w:r w:rsidR="00004771">
        <w:rPr>
          <w:sz w:val="28"/>
          <w:szCs w:val="28"/>
        </w:rPr>
        <w:t>e Ministère de  l’intérieur a été informé de cette situation par plusieurs correspondances</w:t>
      </w:r>
      <w:r w:rsidR="004C5E58">
        <w:rPr>
          <w:sz w:val="28"/>
          <w:szCs w:val="28"/>
        </w:rPr>
        <w:t>. Aussi, c</w:t>
      </w:r>
      <w:r w:rsidR="00EB4E04">
        <w:rPr>
          <w:sz w:val="28"/>
          <w:szCs w:val="28"/>
        </w:rPr>
        <w:t>omment une créance résultant d’une réquisition de Mr Le Wali, pourrait-elle être frappée d’irrécouvrable</w:t>
      </w:r>
      <w:r w:rsidR="00E21FA0">
        <w:rPr>
          <w:sz w:val="28"/>
          <w:szCs w:val="28"/>
        </w:rPr>
        <w:t> ?</w:t>
      </w:r>
      <w:r w:rsidR="00D24FC1">
        <w:rPr>
          <w:sz w:val="28"/>
          <w:szCs w:val="28"/>
        </w:rPr>
        <w:t xml:space="preserve"> </w:t>
      </w:r>
      <w:r w:rsidR="00EB4E04">
        <w:rPr>
          <w:sz w:val="28"/>
          <w:szCs w:val="28"/>
        </w:rPr>
        <w:t xml:space="preserve"> ce qui </w:t>
      </w:r>
      <w:r w:rsidR="004C5E58">
        <w:rPr>
          <w:sz w:val="28"/>
          <w:szCs w:val="28"/>
        </w:rPr>
        <w:t xml:space="preserve">ressort </w:t>
      </w:r>
      <w:r w:rsidR="00EB4E04">
        <w:rPr>
          <w:sz w:val="28"/>
          <w:szCs w:val="28"/>
        </w:rPr>
        <w:t>de l’avis du commissaire aux comptes, selon son rapport établi au titre de l’exercice 2021.</w:t>
      </w:r>
    </w:p>
    <w:p w:rsidR="00EB4E04" w:rsidRDefault="00EB4E04" w:rsidP="00EB4E04">
      <w:pPr>
        <w:pStyle w:val="Paragraphedeliste"/>
        <w:tabs>
          <w:tab w:val="left" w:pos="3497"/>
        </w:tabs>
        <w:ind w:left="3647" w:right="283"/>
        <w:jc w:val="both"/>
        <w:rPr>
          <w:sz w:val="28"/>
          <w:szCs w:val="28"/>
        </w:rPr>
      </w:pPr>
      <w:r>
        <w:rPr>
          <w:sz w:val="28"/>
          <w:szCs w:val="28"/>
        </w:rPr>
        <w:lastRenderedPageBreak/>
        <w:t xml:space="preserve">En ce qui concerne les créances débiteurs hôtels </w:t>
      </w:r>
      <w:r w:rsidR="004C5E58">
        <w:rPr>
          <w:sz w:val="28"/>
          <w:szCs w:val="28"/>
        </w:rPr>
        <w:t xml:space="preserve">qui recouvrent à la fois des créances ordinaires pour un montant global de 13.539.771,54 DA et des créances portées  en pertes de valeurs pour un montant global de 15.831.761,44 DA, les structures centrales et les directeurs des hôtels concernés ont </w:t>
      </w:r>
      <w:r w:rsidR="00D24FC1">
        <w:rPr>
          <w:sz w:val="28"/>
          <w:szCs w:val="28"/>
        </w:rPr>
        <w:t xml:space="preserve">également </w:t>
      </w:r>
      <w:r w:rsidR="004C5E58">
        <w:rPr>
          <w:sz w:val="28"/>
          <w:szCs w:val="28"/>
        </w:rPr>
        <w:t>été saisis de cette situation et ont été rendus destinataire  du rapport du commissaire aux comptes , par</w:t>
      </w:r>
      <w:r w:rsidR="00F72C25">
        <w:rPr>
          <w:sz w:val="28"/>
          <w:szCs w:val="28"/>
        </w:rPr>
        <w:t xml:space="preserve"> un premier </w:t>
      </w:r>
      <w:r w:rsidR="004C5E58">
        <w:rPr>
          <w:sz w:val="28"/>
          <w:szCs w:val="28"/>
        </w:rPr>
        <w:t xml:space="preserve"> courrier daté du 19 Juin 2022 </w:t>
      </w:r>
      <w:r w:rsidR="00F72C25">
        <w:rPr>
          <w:sz w:val="28"/>
          <w:szCs w:val="28"/>
        </w:rPr>
        <w:t xml:space="preserve">, suivi par d’autres envois,  </w:t>
      </w:r>
      <w:r w:rsidR="004C5E58">
        <w:rPr>
          <w:sz w:val="28"/>
          <w:szCs w:val="28"/>
        </w:rPr>
        <w:t xml:space="preserve">à l’effet de prendre en charge , chacun , en ce qui le concerne, le retraitement et l’assainissement de ces situations. </w:t>
      </w:r>
      <w:r w:rsidR="00F72C25">
        <w:rPr>
          <w:sz w:val="28"/>
          <w:szCs w:val="28"/>
        </w:rPr>
        <w:t>Les résultats de ces retraitements et assainissements sont</w:t>
      </w:r>
      <w:r w:rsidR="00D24FC1">
        <w:rPr>
          <w:sz w:val="28"/>
          <w:szCs w:val="28"/>
        </w:rPr>
        <w:t xml:space="preserve"> aussi </w:t>
      </w:r>
      <w:r w:rsidR="00F72C25">
        <w:rPr>
          <w:sz w:val="28"/>
          <w:szCs w:val="28"/>
        </w:rPr>
        <w:t xml:space="preserve"> attendus.</w:t>
      </w:r>
    </w:p>
    <w:p w:rsidR="008B2642" w:rsidRDefault="008B2642" w:rsidP="008B2642">
      <w:pPr>
        <w:pStyle w:val="Paragraphedeliste"/>
        <w:tabs>
          <w:tab w:val="left" w:pos="3497"/>
        </w:tabs>
        <w:ind w:left="3647" w:right="283"/>
        <w:jc w:val="both"/>
        <w:rPr>
          <w:sz w:val="28"/>
          <w:szCs w:val="28"/>
        </w:rPr>
      </w:pPr>
      <w:r>
        <w:rPr>
          <w:sz w:val="28"/>
          <w:szCs w:val="28"/>
        </w:rPr>
        <w:t>Quant à la gestion des PM &amp; PQ, elle est clairement décrite et contenue dans  la procé</w:t>
      </w:r>
      <w:r w:rsidR="00D24FC1">
        <w:rPr>
          <w:sz w:val="28"/>
          <w:szCs w:val="28"/>
        </w:rPr>
        <w:t>dure de gestion hôtelière OPERA, dont il convient d’en faire application.</w:t>
      </w:r>
    </w:p>
    <w:p w:rsidR="00EE7C17" w:rsidRDefault="00F72C25" w:rsidP="00D24FC1">
      <w:pPr>
        <w:pStyle w:val="Paragraphedeliste"/>
        <w:numPr>
          <w:ilvl w:val="0"/>
          <w:numId w:val="30"/>
        </w:numPr>
        <w:tabs>
          <w:tab w:val="left" w:pos="3497"/>
        </w:tabs>
        <w:ind w:right="283"/>
        <w:jc w:val="both"/>
        <w:rPr>
          <w:sz w:val="28"/>
          <w:szCs w:val="28"/>
        </w:rPr>
      </w:pPr>
      <w:r w:rsidRPr="00257AFB">
        <w:rPr>
          <w:sz w:val="28"/>
          <w:szCs w:val="28"/>
          <w:u w:val="single"/>
        </w:rPr>
        <w:t>Gestion des gratuités et offerts</w:t>
      </w:r>
      <w:r>
        <w:rPr>
          <w:sz w:val="28"/>
          <w:szCs w:val="28"/>
        </w:rPr>
        <w:t> :</w:t>
      </w:r>
      <w:r w:rsidR="00EE7C17">
        <w:rPr>
          <w:sz w:val="28"/>
          <w:szCs w:val="28"/>
        </w:rPr>
        <w:t xml:space="preserve"> Objet d’une remarque du commissaire aux comptes, une </w:t>
      </w:r>
      <w:r w:rsidR="008B2642">
        <w:rPr>
          <w:sz w:val="28"/>
          <w:szCs w:val="28"/>
        </w:rPr>
        <w:t>procédure sera mise en place, en s’in</w:t>
      </w:r>
      <w:r w:rsidR="00EE7C17">
        <w:rPr>
          <w:sz w:val="28"/>
          <w:szCs w:val="28"/>
        </w:rPr>
        <w:t xml:space="preserve">spirant et en s’appuyant sur la pratique à l’international y compris par rapport aux chaines hôtelières internationales présentes en Algérie. </w:t>
      </w:r>
      <w:r w:rsidR="00D24FC1">
        <w:rPr>
          <w:sz w:val="28"/>
          <w:szCs w:val="28"/>
        </w:rPr>
        <w:t xml:space="preserve">A titre d’exemple, le </w:t>
      </w:r>
      <w:r w:rsidR="00EE7C17">
        <w:rPr>
          <w:sz w:val="28"/>
          <w:szCs w:val="28"/>
        </w:rPr>
        <w:t>cout des offerts accordés à la clientèle  représente à peine 0,6% du chiffre d’affaires.</w:t>
      </w:r>
    </w:p>
    <w:p w:rsidR="00EE7C17" w:rsidRDefault="00EE7C17" w:rsidP="00D24FC1">
      <w:pPr>
        <w:pStyle w:val="Paragraphedeliste"/>
        <w:numPr>
          <w:ilvl w:val="0"/>
          <w:numId w:val="30"/>
        </w:numPr>
        <w:tabs>
          <w:tab w:val="left" w:pos="3497"/>
        </w:tabs>
        <w:ind w:right="283"/>
        <w:jc w:val="both"/>
        <w:rPr>
          <w:sz w:val="28"/>
          <w:szCs w:val="28"/>
        </w:rPr>
      </w:pPr>
      <w:r w:rsidRPr="00257AFB">
        <w:rPr>
          <w:sz w:val="28"/>
          <w:szCs w:val="28"/>
          <w:u w:val="single"/>
        </w:rPr>
        <w:t>Gestion de la trésorerie</w:t>
      </w:r>
      <w:r>
        <w:rPr>
          <w:sz w:val="28"/>
          <w:szCs w:val="28"/>
        </w:rPr>
        <w:t xml:space="preserve"> : </w:t>
      </w:r>
      <w:r w:rsidR="002674FF">
        <w:rPr>
          <w:sz w:val="28"/>
          <w:szCs w:val="28"/>
        </w:rPr>
        <w:t xml:space="preserve">Cette trésorerie recouvre à travers les états de rapprochement bancaires plusieurs anciennes opérations représentées par des chèques en circulation, non transcrits dans </w:t>
      </w:r>
      <w:r w:rsidR="00D24FC1">
        <w:rPr>
          <w:sz w:val="28"/>
          <w:szCs w:val="28"/>
        </w:rPr>
        <w:t xml:space="preserve">les </w:t>
      </w:r>
      <w:r w:rsidR="002674FF">
        <w:rPr>
          <w:sz w:val="28"/>
          <w:szCs w:val="28"/>
        </w:rPr>
        <w:t xml:space="preserve">livres </w:t>
      </w:r>
      <w:r w:rsidR="00D24FC1">
        <w:rPr>
          <w:sz w:val="28"/>
          <w:szCs w:val="28"/>
        </w:rPr>
        <w:t xml:space="preserve">comptables </w:t>
      </w:r>
      <w:r w:rsidR="002674FF">
        <w:rPr>
          <w:sz w:val="28"/>
          <w:szCs w:val="28"/>
        </w:rPr>
        <w:t xml:space="preserve"> ou des virements non identifiés</w:t>
      </w:r>
      <w:r w:rsidR="00D24FC1">
        <w:rPr>
          <w:sz w:val="28"/>
          <w:szCs w:val="28"/>
        </w:rPr>
        <w:t xml:space="preserve"> ; </w:t>
      </w:r>
      <w:r w:rsidR="002674FF">
        <w:rPr>
          <w:sz w:val="28"/>
          <w:szCs w:val="28"/>
        </w:rPr>
        <w:t xml:space="preserve">demeurant toujours en suspens. Comme précisé par le commissaire aux comptes, la banque primaire de l’établissement a été saisie par plusieurs courriers, dont le dernier en date remonte au </w:t>
      </w:r>
      <w:r w:rsidR="00257AFB" w:rsidRPr="00257AFB">
        <w:rPr>
          <w:sz w:val="28"/>
          <w:szCs w:val="28"/>
        </w:rPr>
        <w:t>27 Septembre 2022.</w:t>
      </w:r>
      <w:r w:rsidR="00E21FA0">
        <w:rPr>
          <w:sz w:val="28"/>
          <w:szCs w:val="28"/>
        </w:rPr>
        <w:t xml:space="preserve"> </w:t>
      </w:r>
      <w:r w:rsidR="00D24FC1">
        <w:rPr>
          <w:sz w:val="28"/>
          <w:szCs w:val="28"/>
        </w:rPr>
        <w:t>Le</w:t>
      </w:r>
      <w:r w:rsidR="00E21FA0">
        <w:rPr>
          <w:sz w:val="28"/>
          <w:szCs w:val="28"/>
        </w:rPr>
        <w:t>s</w:t>
      </w:r>
      <w:r w:rsidR="00D24FC1">
        <w:rPr>
          <w:sz w:val="28"/>
          <w:szCs w:val="28"/>
        </w:rPr>
        <w:t xml:space="preserve"> premières réactions de la banque primaire ont été enregistrées ces derniers jours, un assainissement est très </w:t>
      </w:r>
      <w:r w:rsidR="005F72A2">
        <w:rPr>
          <w:sz w:val="28"/>
          <w:szCs w:val="28"/>
        </w:rPr>
        <w:t>attendu à ce sujet.</w:t>
      </w:r>
    </w:p>
    <w:p w:rsidR="00337E51" w:rsidRDefault="002674FF" w:rsidP="00D24FC1">
      <w:pPr>
        <w:pStyle w:val="Paragraphedeliste"/>
        <w:numPr>
          <w:ilvl w:val="0"/>
          <w:numId w:val="30"/>
        </w:numPr>
        <w:tabs>
          <w:tab w:val="left" w:pos="3497"/>
        </w:tabs>
        <w:ind w:right="283"/>
        <w:jc w:val="both"/>
        <w:rPr>
          <w:sz w:val="28"/>
          <w:szCs w:val="28"/>
        </w:rPr>
      </w:pPr>
      <w:r w:rsidRPr="00257AFB">
        <w:rPr>
          <w:sz w:val="28"/>
          <w:szCs w:val="28"/>
          <w:u w:val="single"/>
        </w:rPr>
        <w:t>L’avis du CNC portant modèles d’états  financiers</w:t>
      </w:r>
      <w:r>
        <w:rPr>
          <w:sz w:val="28"/>
          <w:szCs w:val="28"/>
        </w:rPr>
        <w:t> </w:t>
      </w:r>
      <w:r w:rsidR="00337E51">
        <w:rPr>
          <w:sz w:val="28"/>
          <w:szCs w:val="28"/>
        </w:rPr>
        <w:t>: comme</w:t>
      </w:r>
      <w:r>
        <w:rPr>
          <w:sz w:val="28"/>
          <w:szCs w:val="28"/>
        </w:rPr>
        <w:t xml:space="preserve"> indiqué</w:t>
      </w:r>
      <w:r w:rsidR="00337E51">
        <w:rPr>
          <w:sz w:val="28"/>
          <w:szCs w:val="28"/>
        </w:rPr>
        <w:t xml:space="preserve">, il s’agit d’un simple avis du CNC, sans obligation aucune </w:t>
      </w:r>
      <w:r w:rsidR="00E21FA0">
        <w:rPr>
          <w:sz w:val="28"/>
          <w:szCs w:val="28"/>
        </w:rPr>
        <w:t>pour sa mise</w:t>
      </w:r>
      <w:r w:rsidR="00337E51">
        <w:rPr>
          <w:sz w:val="28"/>
          <w:szCs w:val="28"/>
        </w:rPr>
        <w:t xml:space="preserve"> en œuvre, à travers les tableaux complémentaires, qui </w:t>
      </w:r>
      <w:r w:rsidR="00D24FC1">
        <w:rPr>
          <w:sz w:val="28"/>
          <w:szCs w:val="28"/>
        </w:rPr>
        <w:t xml:space="preserve">ont été </w:t>
      </w:r>
      <w:r w:rsidR="00337E51">
        <w:rPr>
          <w:sz w:val="28"/>
          <w:szCs w:val="28"/>
        </w:rPr>
        <w:t xml:space="preserve">au </w:t>
      </w:r>
      <w:r w:rsidR="005F72A2">
        <w:rPr>
          <w:sz w:val="28"/>
          <w:szCs w:val="28"/>
        </w:rPr>
        <w:t>demeurant,</w:t>
      </w:r>
      <w:r w:rsidR="00D24FC1">
        <w:rPr>
          <w:sz w:val="28"/>
          <w:szCs w:val="28"/>
        </w:rPr>
        <w:t xml:space="preserve"> toujours </w:t>
      </w:r>
      <w:r w:rsidR="00337E51">
        <w:rPr>
          <w:sz w:val="28"/>
          <w:szCs w:val="28"/>
        </w:rPr>
        <w:t>contenus dans les bilans comptables, antérie</w:t>
      </w:r>
      <w:r w:rsidR="00E21FA0">
        <w:rPr>
          <w:sz w:val="28"/>
          <w:szCs w:val="28"/>
        </w:rPr>
        <w:t>urement à la mise en place du S</w:t>
      </w:r>
      <w:r w:rsidR="00337E51">
        <w:rPr>
          <w:sz w:val="28"/>
          <w:szCs w:val="28"/>
        </w:rPr>
        <w:t>C</w:t>
      </w:r>
      <w:r w:rsidR="00E21FA0">
        <w:rPr>
          <w:sz w:val="28"/>
          <w:szCs w:val="28"/>
        </w:rPr>
        <w:t>F</w:t>
      </w:r>
      <w:r w:rsidR="00337E51">
        <w:rPr>
          <w:sz w:val="28"/>
          <w:szCs w:val="28"/>
        </w:rPr>
        <w:t>.</w:t>
      </w:r>
    </w:p>
    <w:p w:rsidR="00BE5831" w:rsidRDefault="00337E51" w:rsidP="00337E51">
      <w:pPr>
        <w:pStyle w:val="Paragraphedeliste"/>
        <w:numPr>
          <w:ilvl w:val="0"/>
          <w:numId w:val="30"/>
        </w:numPr>
        <w:tabs>
          <w:tab w:val="left" w:pos="3497"/>
        </w:tabs>
        <w:ind w:right="283"/>
        <w:jc w:val="both"/>
        <w:rPr>
          <w:sz w:val="28"/>
          <w:szCs w:val="28"/>
        </w:rPr>
      </w:pPr>
      <w:r w:rsidRPr="00257AFB">
        <w:rPr>
          <w:sz w:val="28"/>
          <w:szCs w:val="28"/>
          <w:u w:val="single"/>
        </w:rPr>
        <w:t>Activité de la cellule audit interne</w:t>
      </w:r>
      <w:r>
        <w:rPr>
          <w:sz w:val="28"/>
          <w:szCs w:val="28"/>
        </w:rPr>
        <w:t> : Son renforcement en effectif est une préoccupation de l’entreprise, tel qu</w:t>
      </w:r>
      <w:r w:rsidR="005F72A2">
        <w:rPr>
          <w:sz w:val="28"/>
          <w:szCs w:val="28"/>
        </w:rPr>
        <w:t xml:space="preserve">e repris , </w:t>
      </w:r>
      <w:r>
        <w:rPr>
          <w:sz w:val="28"/>
          <w:szCs w:val="28"/>
        </w:rPr>
        <w:t xml:space="preserve"> dans les derniers rapports de gestion du </w:t>
      </w:r>
      <w:r>
        <w:rPr>
          <w:sz w:val="28"/>
          <w:szCs w:val="28"/>
        </w:rPr>
        <w:lastRenderedPageBreak/>
        <w:t xml:space="preserve">Conseil d’Administration et la mise en place d’une cartographie des risques, en référence à la remarque du commissaire aux comptes est </w:t>
      </w:r>
      <w:r w:rsidR="005F72A2">
        <w:rPr>
          <w:sz w:val="28"/>
          <w:szCs w:val="28"/>
        </w:rPr>
        <w:t xml:space="preserve">déjà </w:t>
      </w:r>
      <w:r>
        <w:rPr>
          <w:sz w:val="28"/>
          <w:szCs w:val="28"/>
        </w:rPr>
        <w:t xml:space="preserve">envisagée </w:t>
      </w:r>
      <w:r w:rsidR="00BE5831">
        <w:rPr>
          <w:sz w:val="28"/>
          <w:szCs w:val="28"/>
        </w:rPr>
        <w:t>et sera entreprise dans les meilleurs délais.</w:t>
      </w:r>
    </w:p>
    <w:p w:rsidR="002674FF" w:rsidRDefault="00BE5831" w:rsidP="00337E51">
      <w:pPr>
        <w:pStyle w:val="Paragraphedeliste"/>
        <w:numPr>
          <w:ilvl w:val="0"/>
          <w:numId w:val="30"/>
        </w:numPr>
        <w:tabs>
          <w:tab w:val="left" w:pos="3497"/>
        </w:tabs>
        <w:ind w:right="283"/>
        <w:jc w:val="both"/>
        <w:rPr>
          <w:sz w:val="28"/>
          <w:szCs w:val="28"/>
        </w:rPr>
      </w:pPr>
      <w:r w:rsidRPr="00257AFB">
        <w:rPr>
          <w:sz w:val="28"/>
          <w:szCs w:val="28"/>
          <w:u w:val="single"/>
        </w:rPr>
        <w:t>Missions des différentes structures de l’entreprise</w:t>
      </w:r>
      <w:r>
        <w:rPr>
          <w:sz w:val="28"/>
          <w:szCs w:val="28"/>
        </w:rPr>
        <w:t> : Les missions des structures centrales décrites dans le rapport du commissaire aux comptes ne correspondent nullement aux véritables missions qui incombent à ces structures.</w:t>
      </w:r>
    </w:p>
    <w:p w:rsidR="00B020F5" w:rsidRPr="00D8040A" w:rsidRDefault="00B020F5" w:rsidP="005F72A2">
      <w:pPr>
        <w:pStyle w:val="Paragraphedeliste"/>
        <w:tabs>
          <w:tab w:val="left" w:pos="3497"/>
        </w:tabs>
        <w:ind w:left="3647" w:right="283"/>
        <w:jc w:val="both"/>
        <w:rPr>
          <w:sz w:val="28"/>
          <w:szCs w:val="28"/>
        </w:rPr>
      </w:pPr>
    </w:p>
    <w:p w:rsidR="002E41DF" w:rsidRDefault="00393FCC" w:rsidP="002E41DF">
      <w:pPr>
        <w:ind w:right="283"/>
        <w:jc w:val="both"/>
        <w:rPr>
          <w:b/>
          <w:color w:val="FF0000"/>
          <w:sz w:val="32"/>
          <w:u w:val="single"/>
        </w:rPr>
      </w:pPr>
      <w:r>
        <w:rPr>
          <w:b/>
          <w:color w:val="FF0000"/>
          <w:sz w:val="32"/>
          <w:u w:val="single"/>
        </w:rPr>
        <w:t>2</w:t>
      </w:r>
      <w:r w:rsidR="004B3C2F">
        <w:rPr>
          <w:b/>
          <w:color w:val="FF0000"/>
          <w:sz w:val="32"/>
          <w:u w:val="single"/>
        </w:rPr>
        <w:t>/ Les activités du Conseil d’A</w:t>
      </w:r>
      <w:r w:rsidR="002E41DF">
        <w:rPr>
          <w:b/>
          <w:color w:val="FF0000"/>
          <w:sz w:val="32"/>
          <w:u w:val="single"/>
        </w:rPr>
        <w:t>dministration</w:t>
      </w:r>
    </w:p>
    <w:p w:rsidR="002E41DF" w:rsidRDefault="002E41DF" w:rsidP="002E41DF">
      <w:pPr>
        <w:ind w:right="283"/>
        <w:jc w:val="both"/>
        <w:rPr>
          <w:b/>
          <w:sz w:val="28"/>
          <w:u w:val="single"/>
        </w:rPr>
      </w:pPr>
    </w:p>
    <w:p w:rsidR="002E41DF" w:rsidRDefault="004B3C2F" w:rsidP="005F72A2">
      <w:pPr>
        <w:ind w:right="283"/>
        <w:jc w:val="both"/>
        <w:rPr>
          <w:sz w:val="28"/>
        </w:rPr>
      </w:pPr>
      <w:r>
        <w:rPr>
          <w:sz w:val="28"/>
        </w:rPr>
        <w:t>La composante du Conseil d’A</w:t>
      </w:r>
      <w:r w:rsidR="002E41DF">
        <w:rPr>
          <w:sz w:val="28"/>
        </w:rPr>
        <w:t xml:space="preserve">dministration , telle qu’elle résulte des résolutions des différentes Assemblées Générales tenues en </w:t>
      </w:r>
      <w:r>
        <w:rPr>
          <w:sz w:val="28"/>
        </w:rPr>
        <w:t xml:space="preserve">séances </w:t>
      </w:r>
      <w:r w:rsidR="002E41DF">
        <w:rPr>
          <w:sz w:val="28"/>
        </w:rPr>
        <w:t>ordinaire</w:t>
      </w:r>
      <w:r>
        <w:rPr>
          <w:sz w:val="28"/>
        </w:rPr>
        <w:t>s</w:t>
      </w:r>
      <w:r w:rsidR="002E41DF">
        <w:rPr>
          <w:sz w:val="28"/>
        </w:rPr>
        <w:t xml:space="preserve"> et Extraordinaire</w:t>
      </w:r>
      <w:r>
        <w:rPr>
          <w:sz w:val="28"/>
        </w:rPr>
        <w:t>s</w:t>
      </w:r>
      <w:r w:rsidR="00756DD7">
        <w:rPr>
          <w:sz w:val="28"/>
        </w:rPr>
        <w:t xml:space="preserve"> à la date </w:t>
      </w:r>
      <w:r w:rsidR="005F72A2">
        <w:rPr>
          <w:sz w:val="28"/>
        </w:rPr>
        <w:t xml:space="preserve">notamment </w:t>
      </w:r>
      <w:r w:rsidR="00756DD7">
        <w:rPr>
          <w:sz w:val="28"/>
        </w:rPr>
        <w:t xml:space="preserve">du </w:t>
      </w:r>
      <w:r w:rsidR="005F72A2">
        <w:rPr>
          <w:sz w:val="28"/>
        </w:rPr>
        <w:t xml:space="preserve">14 </w:t>
      </w:r>
      <w:r w:rsidR="00752990">
        <w:rPr>
          <w:sz w:val="28"/>
        </w:rPr>
        <w:t>Juin 2022</w:t>
      </w:r>
      <w:r w:rsidR="002E41DF">
        <w:rPr>
          <w:sz w:val="28"/>
        </w:rPr>
        <w:t>s’établit comme suit :</w:t>
      </w:r>
    </w:p>
    <w:p w:rsidR="002E41DF" w:rsidRDefault="002E41DF" w:rsidP="002E41DF">
      <w:pPr>
        <w:ind w:right="283"/>
        <w:jc w:val="both"/>
        <w:rPr>
          <w:sz w:val="28"/>
        </w:rPr>
      </w:pPr>
    </w:p>
    <w:p w:rsidR="002E41DF" w:rsidRDefault="002E41DF" w:rsidP="002E41DF">
      <w:pPr>
        <w:ind w:right="283"/>
        <w:jc w:val="both"/>
        <w:rPr>
          <w:b/>
          <w:color w:val="0000FF"/>
          <w:sz w:val="28"/>
          <w:u w:val="single"/>
        </w:rPr>
      </w:pPr>
      <w:r>
        <w:rPr>
          <w:b/>
          <w:color w:val="0000FF"/>
          <w:sz w:val="28"/>
          <w:u w:val="single"/>
        </w:rPr>
        <w:t xml:space="preserve">Président : </w:t>
      </w:r>
    </w:p>
    <w:p w:rsidR="002E41DF" w:rsidRDefault="002E41DF" w:rsidP="002E41DF">
      <w:pPr>
        <w:ind w:right="283"/>
        <w:jc w:val="both"/>
        <w:rPr>
          <w:sz w:val="28"/>
        </w:rPr>
      </w:pPr>
    </w:p>
    <w:p w:rsidR="008C3DDA" w:rsidRDefault="00752990" w:rsidP="002E41DF">
      <w:pPr>
        <w:ind w:right="283"/>
        <w:jc w:val="both"/>
        <w:rPr>
          <w:sz w:val="28"/>
        </w:rPr>
      </w:pPr>
      <w:r>
        <w:rPr>
          <w:sz w:val="28"/>
        </w:rPr>
        <w:t>Monsieur BELMIHOUB Noureddine</w:t>
      </w:r>
    </w:p>
    <w:p w:rsidR="002E41DF" w:rsidRDefault="002E41DF" w:rsidP="002E41DF">
      <w:pPr>
        <w:ind w:right="283"/>
        <w:jc w:val="both"/>
        <w:rPr>
          <w:sz w:val="28"/>
        </w:rPr>
      </w:pPr>
    </w:p>
    <w:p w:rsidR="002E41DF" w:rsidRPr="00A11141" w:rsidRDefault="002E41DF" w:rsidP="002E41DF">
      <w:pPr>
        <w:pStyle w:val="Titre1"/>
        <w:ind w:right="283"/>
        <w:rPr>
          <w:color w:val="0000FF"/>
          <w:u w:val="single"/>
        </w:rPr>
      </w:pPr>
      <w:r w:rsidRPr="00A11141">
        <w:rPr>
          <w:color w:val="0000FF"/>
          <w:u w:val="single"/>
        </w:rPr>
        <w:t>Administrateurs</w:t>
      </w:r>
    </w:p>
    <w:p w:rsidR="002E41DF" w:rsidRDefault="002E41DF" w:rsidP="002E41DF">
      <w:pPr>
        <w:ind w:right="283"/>
        <w:jc w:val="both"/>
        <w:rPr>
          <w:sz w:val="28"/>
        </w:rPr>
      </w:pPr>
    </w:p>
    <w:p w:rsidR="002E41DF" w:rsidRDefault="002E41DF" w:rsidP="002E41DF">
      <w:pPr>
        <w:ind w:right="283"/>
        <w:jc w:val="both"/>
        <w:rPr>
          <w:sz w:val="28"/>
        </w:rPr>
      </w:pPr>
      <w:r>
        <w:rPr>
          <w:sz w:val="28"/>
        </w:rPr>
        <w:t>Messieurs :</w:t>
      </w:r>
    </w:p>
    <w:p w:rsidR="002E41DF" w:rsidRDefault="002E41DF" w:rsidP="002E41DF">
      <w:pPr>
        <w:ind w:right="283"/>
        <w:jc w:val="both"/>
        <w:rPr>
          <w:sz w:val="28"/>
        </w:rPr>
      </w:pPr>
    </w:p>
    <w:p w:rsidR="0057528F" w:rsidRDefault="00B03147" w:rsidP="003C00AA">
      <w:pPr>
        <w:numPr>
          <w:ilvl w:val="0"/>
          <w:numId w:val="1"/>
        </w:numPr>
        <w:ind w:right="283"/>
        <w:jc w:val="both"/>
        <w:rPr>
          <w:sz w:val="28"/>
        </w:rPr>
      </w:pPr>
      <w:r>
        <w:rPr>
          <w:sz w:val="28"/>
        </w:rPr>
        <w:t>HADDAM TIDJA</w:t>
      </w:r>
      <w:r w:rsidR="00521348">
        <w:rPr>
          <w:sz w:val="28"/>
        </w:rPr>
        <w:t xml:space="preserve">NI        </w:t>
      </w:r>
      <w:r w:rsidR="0057528F">
        <w:rPr>
          <w:sz w:val="28"/>
        </w:rPr>
        <w:t>Hassan</w:t>
      </w:r>
    </w:p>
    <w:p w:rsidR="00752990" w:rsidRDefault="00DE13F4" w:rsidP="003C00AA">
      <w:pPr>
        <w:numPr>
          <w:ilvl w:val="0"/>
          <w:numId w:val="1"/>
        </w:numPr>
        <w:ind w:right="283"/>
        <w:jc w:val="both"/>
        <w:rPr>
          <w:sz w:val="28"/>
        </w:rPr>
      </w:pPr>
      <w:r>
        <w:rPr>
          <w:sz w:val="28"/>
        </w:rPr>
        <w:t>B</w:t>
      </w:r>
      <w:r w:rsidR="00521348">
        <w:rPr>
          <w:sz w:val="28"/>
        </w:rPr>
        <w:t xml:space="preserve">ENDIFF                         </w:t>
      </w:r>
      <w:r>
        <w:rPr>
          <w:sz w:val="28"/>
        </w:rPr>
        <w:t>Hocine</w:t>
      </w:r>
    </w:p>
    <w:p w:rsidR="00752990" w:rsidRDefault="00752990" w:rsidP="003C00AA">
      <w:pPr>
        <w:numPr>
          <w:ilvl w:val="0"/>
          <w:numId w:val="1"/>
        </w:numPr>
        <w:ind w:right="283"/>
        <w:jc w:val="both"/>
        <w:rPr>
          <w:sz w:val="28"/>
        </w:rPr>
      </w:pPr>
      <w:r>
        <w:rPr>
          <w:sz w:val="28"/>
        </w:rPr>
        <w:t>LARBI                              Mohamed</w:t>
      </w:r>
    </w:p>
    <w:p w:rsidR="00DE13F4" w:rsidRDefault="00521348" w:rsidP="003C00AA">
      <w:pPr>
        <w:numPr>
          <w:ilvl w:val="0"/>
          <w:numId w:val="1"/>
        </w:numPr>
        <w:ind w:right="283"/>
        <w:jc w:val="both"/>
        <w:rPr>
          <w:sz w:val="28"/>
        </w:rPr>
      </w:pPr>
      <w:r>
        <w:rPr>
          <w:sz w:val="28"/>
        </w:rPr>
        <w:t xml:space="preserve">BENTALEB                     </w:t>
      </w:r>
      <w:proofErr w:type="spellStart"/>
      <w:r w:rsidR="00752990">
        <w:rPr>
          <w:sz w:val="28"/>
        </w:rPr>
        <w:t>Faycal</w:t>
      </w:r>
      <w:proofErr w:type="spellEnd"/>
    </w:p>
    <w:p w:rsidR="002E41DF" w:rsidRDefault="00C10196" w:rsidP="003C00AA">
      <w:pPr>
        <w:numPr>
          <w:ilvl w:val="0"/>
          <w:numId w:val="1"/>
        </w:numPr>
        <w:ind w:right="283"/>
        <w:jc w:val="both"/>
        <w:rPr>
          <w:sz w:val="28"/>
        </w:rPr>
      </w:pPr>
      <w:r>
        <w:rPr>
          <w:sz w:val="28"/>
        </w:rPr>
        <w:t xml:space="preserve">MEGRAD </w:t>
      </w:r>
      <w:r>
        <w:rPr>
          <w:sz w:val="28"/>
        </w:rPr>
        <w:tab/>
        <w:t>Mohamed</w:t>
      </w:r>
    </w:p>
    <w:p w:rsidR="002E41DF" w:rsidRDefault="00C10196" w:rsidP="003C00AA">
      <w:pPr>
        <w:numPr>
          <w:ilvl w:val="0"/>
          <w:numId w:val="1"/>
        </w:numPr>
        <w:ind w:right="283"/>
        <w:jc w:val="both"/>
        <w:rPr>
          <w:sz w:val="28"/>
        </w:rPr>
      </w:pPr>
      <w:r>
        <w:rPr>
          <w:sz w:val="28"/>
        </w:rPr>
        <w:t xml:space="preserve">BENAISSA        </w:t>
      </w:r>
      <w:proofErr w:type="spellStart"/>
      <w:r>
        <w:rPr>
          <w:sz w:val="28"/>
        </w:rPr>
        <w:t>Hamoud</w:t>
      </w:r>
      <w:proofErr w:type="spellEnd"/>
    </w:p>
    <w:p w:rsidR="006105A9" w:rsidRDefault="006105A9" w:rsidP="002E41DF">
      <w:pPr>
        <w:ind w:right="283"/>
        <w:jc w:val="both"/>
        <w:rPr>
          <w:sz w:val="28"/>
        </w:rPr>
      </w:pPr>
    </w:p>
    <w:p w:rsidR="002E41DF" w:rsidRPr="00A11141" w:rsidRDefault="002E41DF" w:rsidP="002E41DF">
      <w:pPr>
        <w:pStyle w:val="Titre1"/>
        <w:ind w:right="283"/>
        <w:rPr>
          <w:color w:val="0000FF"/>
          <w:u w:val="single"/>
        </w:rPr>
      </w:pPr>
      <w:r w:rsidRPr="00A11141">
        <w:rPr>
          <w:color w:val="0000FF"/>
          <w:u w:val="single"/>
        </w:rPr>
        <w:t>Commissaire aux comptes</w:t>
      </w:r>
    </w:p>
    <w:p w:rsidR="002E41DF" w:rsidRDefault="002E41DF" w:rsidP="002E41DF">
      <w:pPr>
        <w:ind w:right="283"/>
        <w:jc w:val="both"/>
        <w:rPr>
          <w:sz w:val="28"/>
        </w:rPr>
      </w:pPr>
    </w:p>
    <w:p w:rsidR="000E38E0" w:rsidRDefault="00752990" w:rsidP="002E41DF">
      <w:pPr>
        <w:ind w:right="283"/>
        <w:jc w:val="both"/>
        <w:rPr>
          <w:sz w:val="28"/>
        </w:rPr>
      </w:pPr>
      <w:r>
        <w:rPr>
          <w:sz w:val="28"/>
        </w:rPr>
        <w:t xml:space="preserve">Monsieur  AZOUAOU Farid </w:t>
      </w:r>
    </w:p>
    <w:p w:rsidR="006A37BD" w:rsidRDefault="006A37BD" w:rsidP="002E41DF">
      <w:pPr>
        <w:ind w:right="283"/>
        <w:jc w:val="both"/>
        <w:rPr>
          <w:sz w:val="28"/>
        </w:rPr>
      </w:pPr>
    </w:p>
    <w:p w:rsidR="00E81A4C" w:rsidRDefault="00393FCC" w:rsidP="002E41DF">
      <w:pPr>
        <w:ind w:right="283"/>
        <w:jc w:val="both"/>
        <w:rPr>
          <w:b/>
          <w:color w:val="0000FF"/>
          <w:sz w:val="28"/>
          <w:u w:val="single"/>
        </w:rPr>
      </w:pPr>
      <w:r>
        <w:rPr>
          <w:b/>
          <w:color w:val="0000FF"/>
          <w:sz w:val="28"/>
          <w:u w:val="single"/>
        </w:rPr>
        <w:t>2</w:t>
      </w:r>
      <w:r w:rsidR="002E41DF">
        <w:rPr>
          <w:b/>
          <w:color w:val="0000FF"/>
          <w:sz w:val="28"/>
          <w:u w:val="single"/>
        </w:rPr>
        <w:t xml:space="preserve">-1 Liste nominative des cadres dirigeants de la SPA EGH </w:t>
      </w:r>
      <w:r w:rsidR="00E81A4C">
        <w:rPr>
          <w:b/>
          <w:color w:val="0000FF"/>
          <w:sz w:val="28"/>
          <w:u w:val="single"/>
        </w:rPr>
        <w:t xml:space="preserve">CHAINE </w:t>
      </w:r>
    </w:p>
    <w:p w:rsidR="002E41DF" w:rsidRDefault="002E41DF" w:rsidP="002E41DF">
      <w:pPr>
        <w:ind w:right="283"/>
        <w:jc w:val="both"/>
        <w:rPr>
          <w:b/>
          <w:color w:val="0000FF"/>
          <w:sz w:val="28"/>
          <w:u w:val="single"/>
        </w:rPr>
      </w:pPr>
      <w:r>
        <w:rPr>
          <w:b/>
          <w:color w:val="0000FF"/>
          <w:sz w:val="28"/>
          <w:u w:val="single"/>
        </w:rPr>
        <w:t>EL-AURASSI</w:t>
      </w:r>
    </w:p>
    <w:p w:rsidR="002E41DF" w:rsidRDefault="002E41DF" w:rsidP="002E41DF">
      <w:pPr>
        <w:ind w:right="283"/>
        <w:jc w:val="both"/>
        <w:rPr>
          <w:sz w:val="28"/>
        </w:rPr>
      </w:pPr>
    </w:p>
    <w:p w:rsidR="002E41DF" w:rsidRDefault="002E41DF" w:rsidP="002E41DF">
      <w:pPr>
        <w:ind w:right="283"/>
        <w:jc w:val="both"/>
        <w:rPr>
          <w:b/>
          <w:bCs/>
          <w:color w:val="008000"/>
          <w:sz w:val="28"/>
          <w:u w:val="single"/>
        </w:rPr>
      </w:pPr>
      <w:r>
        <w:rPr>
          <w:b/>
          <w:bCs/>
          <w:color w:val="008000"/>
          <w:sz w:val="28"/>
          <w:u w:val="single"/>
        </w:rPr>
        <w:t>Président Directeur Général</w:t>
      </w:r>
    </w:p>
    <w:p w:rsidR="002E41DF" w:rsidRDefault="00752990" w:rsidP="003C00AA">
      <w:pPr>
        <w:numPr>
          <w:ilvl w:val="0"/>
          <w:numId w:val="2"/>
        </w:numPr>
        <w:ind w:right="283"/>
        <w:jc w:val="both"/>
        <w:rPr>
          <w:b/>
          <w:sz w:val="28"/>
        </w:rPr>
      </w:pPr>
      <w:r>
        <w:rPr>
          <w:b/>
          <w:sz w:val="28"/>
        </w:rPr>
        <w:tab/>
        <w:t>BELMIHOUB</w:t>
      </w:r>
      <w:r w:rsidR="00521348">
        <w:rPr>
          <w:b/>
          <w:sz w:val="28"/>
        </w:rPr>
        <w:t>Noureddine,</w:t>
      </w:r>
    </w:p>
    <w:p w:rsidR="002E41DF" w:rsidRDefault="002E41DF" w:rsidP="002E41DF">
      <w:pPr>
        <w:ind w:right="283"/>
        <w:jc w:val="both"/>
        <w:rPr>
          <w:sz w:val="28"/>
        </w:rPr>
      </w:pPr>
    </w:p>
    <w:p w:rsidR="002E41DF" w:rsidRDefault="002E41DF" w:rsidP="002E41DF">
      <w:pPr>
        <w:ind w:right="283"/>
        <w:jc w:val="both"/>
        <w:rPr>
          <w:b/>
          <w:bCs/>
          <w:color w:val="008000"/>
          <w:sz w:val="28"/>
          <w:u w:val="single"/>
        </w:rPr>
      </w:pPr>
      <w:r>
        <w:rPr>
          <w:b/>
          <w:bCs/>
          <w:color w:val="008000"/>
          <w:sz w:val="28"/>
          <w:u w:val="single"/>
        </w:rPr>
        <w:t>Directeur Financier et Comptable</w:t>
      </w:r>
    </w:p>
    <w:p w:rsidR="002E41DF" w:rsidRDefault="002E41DF" w:rsidP="003C00AA">
      <w:pPr>
        <w:numPr>
          <w:ilvl w:val="0"/>
          <w:numId w:val="3"/>
        </w:numPr>
        <w:ind w:right="283"/>
        <w:jc w:val="both"/>
        <w:rPr>
          <w:b/>
          <w:sz w:val="28"/>
        </w:rPr>
      </w:pPr>
      <w:r>
        <w:rPr>
          <w:b/>
          <w:sz w:val="28"/>
        </w:rPr>
        <w:tab/>
        <w:t>KERBOUB</w:t>
      </w:r>
      <w:r>
        <w:rPr>
          <w:b/>
          <w:sz w:val="28"/>
        </w:rPr>
        <w:tab/>
      </w:r>
      <w:proofErr w:type="spellStart"/>
      <w:r>
        <w:rPr>
          <w:b/>
          <w:sz w:val="28"/>
        </w:rPr>
        <w:t>Houcine</w:t>
      </w:r>
      <w:proofErr w:type="spellEnd"/>
      <w:r>
        <w:rPr>
          <w:b/>
          <w:sz w:val="28"/>
        </w:rPr>
        <w:t>,</w:t>
      </w:r>
    </w:p>
    <w:p w:rsidR="002E41DF" w:rsidRDefault="002E41DF" w:rsidP="002E41DF">
      <w:pPr>
        <w:ind w:right="283"/>
        <w:jc w:val="both"/>
        <w:rPr>
          <w:sz w:val="28"/>
        </w:rPr>
      </w:pPr>
    </w:p>
    <w:p w:rsidR="002E41DF" w:rsidRDefault="002E41DF" w:rsidP="002E41DF">
      <w:pPr>
        <w:ind w:right="283"/>
        <w:jc w:val="both"/>
        <w:rPr>
          <w:b/>
          <w:bCs/>
          <w:color w:val="008000"/>
          <w:sz w:val="28"/>
          <w:u w:val="single"/>
        </w:rPr>
      </w:pPr>
      <w:r>
        <w:rPr>
          <w:b/>
          <w:bCs/>
          <w:color w:val="008000"/>
          <w:sz w:val="28"/>
          <w:u w:val="single"/>
        </w:rPr>
        <w:t>Directeur de l’Hébergement</w:t>
      </w:r>
    </w:p>
    <w:p w:rsidR="00DB7846" w:rsidRDefault="002E41DF" w:rsidP="003C00AA">
      <w:pPr>
        <w:numPr>
          <w:ilvl w:val="0"/>
          <w:numId w:val="4"/>
        </w:numPr>
        <w:tabs>
          <w:tab w:val="num" w:pos="360"/>
        </w:tabs>
        <w:ind w:left="360" w:right="283"/>
        <w:jc w:val="both"/>
        <w:rPr>
          <w:b/>
          <w:sz w:val="28"/>
        </w:rPr>
      </w:pPr>
      <w:r>
        <w:rPr>
          <w:b/>
          <w:sz w:val="28"/>
        </w:rPr>
        <w:tab/>
        <w:t>BENHALLA  Mahfoud</w:t>
      </w:r>
    </w:p>
    <w:p w:rsidR="00072884" w:rsidRDefault="00072884" w:rsidP="00072884">
      <w:pPr>
        <w:ind w:right="283"/>
        <w:jc w:val="both"/>
        <w:rPr>
          <w:b/>
          <w:sz w:val="28"/>
        </w:rPr>
      </w:pPr>
    </w:p>
    <w:p w:rsidR="00072884" w:rsidRPr="00261131" w:rsidRDefault="00072884" w:rsidP="00072884">
      <w:pPr>
        <w:ind w:right="283"/>
        <w:jc w:val="both"/>
        <w:rPr>
          <w:b/>
          <w:sz w:val="28"/>
        </w:rPr>
      </w:pPr>
    </w:p>
    <w:p w:rsidR="002E41DF" w:rsidRDefault="002E41DF" w:rsidP="002E41DF">
      <w:pPr>
        <w:ind w:right="283"/>
        <w:jc w:val="both"/>
        <w:rPr>
          <w:b/>
          <w:bCs/>
          <w:color w:val="008000"/>
          <w:sz w:val="28"/>
          <w:u w:val="single"/>
        </w:rPr>
      </w:pPr>
      <w:r>
        <w:rPr>
          <w:b/>
          <w:bCs/>
          <w:color w:val="008000"/>
          <w:sz w:val="28"/>
          <w:u w:val="single"/>
        </w:rPr>
        <w:t>Directeur Commercial</w:t>
      </w:r>
    </w:p>
    <w:p w:rsidR="00DE13F4" w:rsidRPr="00072884" w:rsidRDefault="002E41DF" w:rsidP="003C00AA">
      <w:pPr>
        <w:numPr>
          <w:ilvl w:val="0"/>
          <w:numId w:val="5"/>
        </w:numPr>
        <w:ind w:right="283"/>
        <w:jc w:val="both"/>
        <w:rPr>
          <w:b/>
          <w:sz w:val="28"/>
        </w:rPr>
      </w:pPr>
      <w:r>
        <w:rPr>
          <w:b/>
          <w:sz w:val="28"/>
        </w:rPr>
        <w:tab/>
        <w:t xml:space="preserve">SAHRAOUI  </w:t>
      </w:r>
      <w:proofErr w:type="spellStart"/>
      <w:r>
        <w:rPr>
          <w:b/>
          <w:sz w:val="28"/>
        </w:rPr>
        <w:t>Abdelghani</w:t>
      </w:r>
      <w:proofErr w:type="spellEnd"/>
    </w:p>
    <w:p w:rsidR="00DE13F4" w:rsidRDefault="00DE13F4" w:rsidP="000C7817">
      <w:pPr>
        <w:ind w:left="360" w:right="283"/>
        <w:jc w:val="both"/>
        <w:rPr>
          <w:b/>
          <w:sz w:val="28"/>
        </w:rPr>
      </w:pPr>
    </w:p>
    <w:p w:rsidR="00DC3722" w:rsidRDefault="00DC3722" w:rsidP="000C7817">
      <w:pPr>
        <w:ind w:left="360" w:right="283"/>
        <w:jc w:val="both"/>
        <w:rPr>
          <w:b/>
          <w:sz w:val="28"/>
        </w:rPr>
      </w:pPr>
    </w:p>
    <w:p w:rsidR="000C7817" w:rsidRDefault="000C7817" w:rsidP="000C7817">
      <w:pPr>
        <w:ind w:right="283"/>
        <w:jc w:val="both"/>
        <w:rPr>
          <w:b/>
          <w:bCs/>
          <w:color w:val="008000"/>
          <w:sz w:val="28"/>
          <w:u w:val="single"/>
        </w:rPr>
      </w:pPr>
      <w:r>
        <w:rPr>
          <w:b/>
          <w:bCs/>
          <w:color w:val="008000"/>
          <w:sz w:val="28"/>
          <w:u w:val="single"/>
        </w:rPr>
        <w:t xml:space="preserve">Directeur de la Restauration  </w:t>
      </w:r>
    </w:p>
    <w:p w:rsidR="002E41DF" w:rsidRPr="00752990" w:rsidRDefault="000C7817" w:rsidP="003C00AA">
      <w:pPr>
        <w:pStyle w:val="Paragraphedeliste"/>
        <w:numPr>
          <w:ilvl w:val="0"/>
          <w:numId w:val="5"/>
        </w:numPr>
        <w:ind w:right="283"/>
        <w:jc w:val="both"/>
        <w:rPr>
          <w:sz w:val="28"/>
        </w:rPr>
      </w:pPr>
      <w:r w:rsidRPr="00752990">
        <w:rPr>
          <w:b/>
          <w:sz w:val="28"/>
        </w:rPr>
        <w:t xml:space="preserve">OULD HAMOUDA </w:t>
      </w:r>
      <w:proofErr w:type="spellStart"/>
      <w:r w:rsidRPr="00752990">
        <w:rPr>
          <w:b/>
          <w:sz w:val="28"/>
        </w:rPr>
        <w:t>Faycal</w:t>
      </w:r>
      <w:proofErr w:type="spellEnd"/>
      <w:r w:rsidRPr="00752990">
        <w:rPr>
          <w:b/>
          <w:sz w:val="28"/>
        </w:rPr>
        <w:tab/>
      </w:r>
    </w:p>
    <w:p w:rsidR="002E41DF" w:rsidRDefault="002E41DF" w:rsidP="002E41DF">
      <w:pPr>
        <w:ind w:right="283"/>
        <w:jc w:val="both"/>
        <w:rPr>
          <w:b/>
          <w:bCs/>
          <w:color w:val="008000"/>
          <w:sz w:val="28"/>
          <w:u w:val="single"/>
        </w:rPr>
      </w:pPr>
      <w:r>
        <w:rPr>
          <w:b/>
          <w:bCs/>
          <w:color w:val="008000"/>
          <w:sz w:val="28"/>
          <w:u w:val="single"/>
        </w:rPr>
        <w:t xml:space="preserve">Directeur des </w:t>
      </w:r>
      <w:proofErr w:type="spellStart"/>
      <w:r>
        <w:rPr>
          <w:b/>
          <w:bCs/>
          <w:color w:val="008000"/>
          <w:sz w:val="28"/>
          <w:u w:val="single"/>
        </w:rPr>
        <w:t>Approvisionnements</w:t>
      </w:r>
      <w:r w:rsidR="00756DD7">
        <w:rPr>
          <w:b/>
          <w:bCs/>
          <w:color w:val="008000"/>
          <w:sz w:val="28"/>
          <w:u w:val="single"/>
        </w:rPr>
        <w:t>par</w:t>
      </w:r>
      <w:proofErr w:type="spellEnd"/>
      <w:r w:rsidR="00756DD7">
        <w:rPr>
          <w:b/>
          <w:bCs/>
          <w:color w:val="008000"/>
          <w:sz w:val="28"/>
          <w:u w:val="single"/>
        </w:rPr>
        <w:t xml:space="preserve">  intérim </w:t>
      </w:r>
    </w:p>
    <w:p w:rsidR="002E41DF" w:rsidRDefault="00756DD7" w:rsidP="003C00AA">
      <w:pPr>
        <w:numPr>
          <w:ilvl w:val="0"/>
          <w:numId w:val="6"/>
        </w:numPr>
        <w:ind w:right="283"/>
        <w:jc w:val="both"/>
        <w:rPr>
          <w:b/>
          <w:sz w:val="28"/>
        </w:rPr>
      </w:pPr>
      <w:r>
        <w:rPr>
          <w:b/>
          <w:sz w:val="28"/>
        </w:rPr>
        <w:t xml:space="preserve"> SAHRAOUI </w:t>
      </w:r>
      <w:proofErr w:type="spellStart"/>
      <w:r>
        <w:rPr>
          <w:b/>
          <w:sz w:val="28"/>
        </w:rPr>
        <w:t>Abdelghani</w:t>
      </w:r>
      <w:proofErr w:type="spellEnd"/>
    </w:p>
    <w:p w:rsidR="00756DD7" w:rsidRDefault="00756DD7" w:rsidP="002E41DF">
      <w:pPr>
        <w:ind w:right="283"/>
        <w:jc w:val="both"/>
        <w:rPr>
          <w:sz w:val="28"/>
        </w:rPr>
      </w:pPr>
    </w:p>
    <w:p w:rsidR="002E41DF" w:rsidRDefault="002E41DF" w:rsidP="002E41DF">
      <w:pPr>
        <w:ind w:right="283"/>
        <w:jc w:val="both"/>
        <w:rPr>
          <w:b/>
          <w:bCs/>
          <w:color w:val="008000"/>
          <w:sz w:val="28"/>
          <w:u w:val="single"/>
        </w:rPr>
      </w:pPr>
      <w:r>
        <w:rPr>
          <w:b/>
          <w:bCs/>
          <w:color w:val="008000"/>
          <w:sz w:val="28"/>
          <w:u w:val="single"/>
        </w:rPr>
        <w:t>Directeur du Personnel et des Moyens</w:t>
      </w:r>
    </w:p>
    <w:p w:rsidR="002E41DF" w:rsidRPr="00261131" w:rsidRDefault="002E41DF" w:rsidP="003C00AA">
      <w:pPr>
        <w:numPr>
          <w:ilvl w:val="0"/>
          <w:numId w:val="7"/>
        </w:numPr>
        <w:ind w:right="283"/>
        <w:jc w:val="both"/>
        <w:rPr>
          <w:b/>
          <w:sz w:val="28"/>
        </w:rPr>
      </w:pPr>
      <w:r>
        <w:rPr>
          <w:b/>
          <w:sz w:val="28"/>
        </w:rPr>
        <w:tab/>
        <w:t xml:space="preserve">DJEMMAA Ali </w:t>
      </w:r>
      <w:r>
        <w:rPr>
          <w:b/>
          <w:sz w:val="28"/>
        </w:rPr>
        <w:tab/>
      </w:r>
    </w:p>
    <w:p w:rsidR="002E41DF" w:rsidRDefault="002E41DF" w:rsidP="002E41DF">
      <w:pPr>
        <w:ind w:right="283"/>
        <w:jc w:val="both"/>
        <w:rPr>
          <w:b/>
          <w:bCs/>
          <w:color w:val="008000"/>
          <w:sz w:val="28"/>
          <w:u w:val="single"/>
        </w:rPr>
      </w:pPr>
      <w:r>
        <w:rPr>
          <w:b/>
          <w:bCs/>
          <w:color w:val="008000"/>
          <w:sz w:val="28"/>
          <w:u w:val="single"/>
        </w:rPr>
        <w:t>Directeur des Equipements et de la Maintenance</w:t>
      </w:r>
      <w:r w:rsidR="000C7817">
        <w:rPr>
          <w:b/>
          <w:bCs/>
          <w:color w:val="008000"/>
          <w:sz w:val="28"/>
          <w:u w:val="single"/>
        </w:rPr>
        <w:t xml:space="preserve"> par intérim</w:t>
      </w:r>
    </w:p>
    <w:p w:rsidR="002F295F" w:rsidRPr="00CD7DE1" w:rsidRDefault="000C7817" w:rsidP="003C00AA">
      <w:pPr>
        <w:numPr>
          <w:ilvl w:val="0"/>
          <w:numId w:val="8"/>
        </w:numPr>
        <w:ind w:right="283"/>
        <w:jc w:val="both"/>
        <w:rPr>
          <w:b/>
          <w:sz w:val="28"/>
        </w:rPr>
      </w:pPr>
      <w:r>
        <w:rPr>
          <w:b/>
          <w:sz w:val="28"/>
        </w:rPr>
        <w:t xml:space="preserve">BOUZIDI   Lamine </w:t>
      </w:r>
    </w:p>
    <w:p w:rsidR="002F295F" w:rsidRDefault="002F295F" w:rsidP="002E41DF">
      <w:pPr>
        <w:ind w:right="283"/>
        <w:jc w:val="both"/>
        <w:rPr>
          <w:b/>
          <w:sz w:val="28"/>
        </w:rPr>
      </w:pPr>
    </w:p>
    <w:p w:rsidR="002E41DF" w:rsidRDefault="004B3C2F" w:rsidP="00752990">
      <w:pPr>
        <w:ind w:right="283"/>
        <w:jc w:val="both"/>
        <w:rPr>
          <w:sz w:val="28"/>
        </w:rPr>
      </w:pPr>
      <w:r>
        <w:rPr>
          <w:sz w:val="28"/>
        </w:rPr>
        <w:t>Le Conseil d’A</w:t>
      </w:r>
      <w:r w:rsidR="002E41DF">
        <w:rPr>
          <w:sz w:val="28"/>
        </w:rPr>
        <w:t>dministration de l’entreprise a t</w:t>
      </w:r>
      <w:r w:rsidR="006105A9">
        <w:rPr>
          <w:sz w:val="28"/>
        </w:rPr>
        <w:t>enu au</w:t>
      </w:r>
      <w:r w:rsidR="00752990">
        <w:rPr>
          <w:sz w:val="28"/>
        </w:rPr>
        <w:t xml:space="preserve"> titre du premier semestre  2022</w:t>
      </w:r>
      <w:r w:rsidR="00DA2E24">
        <w:rPr>
          <w:sz w:val="28"/>
        </w:rPr>
        <w:t xml:space="preserve">, </w:t>
      </w:r>
      <w:r w:rsidR="00752990">
        <w:rPr>
          <w:sz w:val="28"/>
        </w:rPr>
        <w:t xml:space="preserve">trois </w:t>
      </w:r>
      <w:r w:rsidR="002E41DF">
        <w:rPr>
          <w:sz w:val="28"/>
        </w:rPr>
        <w:t>(</w:t>
      </w:r>
      <w:r w:rsidR="00752990">
        <w:rPr>
          <w:sz w:val="28"/>
        </w:rPr>
        <w:t>03</w:t>
      </w:r>
      <w:r w:rsidR="002E41DF">
        <w:rPr>
          <w:sz w:val="28"/>
        </w:rPr>
        <w:t>) séances</w:t>
      </w:r>
      <w:r w:rsidR="005F72A2">
        <w:rPr>
          <w:sz w:val="28"/>
        </w:rPr>
        <w:t xml:space="preserve">, </w:t>
      </w:r>
      <w:r w:rsidR="002E41DF">
        <w:rPr>
          <w:sz w:val="28"/>
        </w:rPr>
        <w:t xml:space="preserve"> au cours desquelles, il a eu à traiter un certain nombre de dossiers et à formuler des </w:t>
      </w:r>
      <w:r w:rsidR="00CD7DE1">
        <w:rPr>
          <w:sz w:val="28"/>
        </w:rPr>
        <w:t>recommandations.</w:t>
      </w:r>
    </w:p>
    <w:p w:rsidR="002E41DF" w:rsidRDefault="002E41DF" w:rsidP="002E41DF">
      <w:pPr>
        <w:ind w:right="283"/>
        <w:jc w:val="both"/>
        <w:rPr>
          <w:sz w:val="28"/>
        </w:rPr>
      </w:pPr>
    </w:p>
    <w:p w:rsidR="002E41DF" w:rsidRDefault="002E41DF" w:rsidP="002E41DF">
      <w:pPr>
        <w:ind w:left="142" w:right="283"/>
        <w:jc w:val="both"/>
        <w:rPr>
          <w:sz w:val="28"/>
        </w:rPr>
      </w:pPr>
      <w:r>
        <w:rPr>
          <w:sz w:val="28"/>
        </w:rPr>
        <w:t>Ces dossiers ont porté sur les points ci-après :</w:t>
      </w:r>
    </w:p>
    <w:p w:rsidR="00756DD7" w:rsidRDefault="00756DD7" w:rsidP="002E41DF">
      <w:pPr>
        <w:ind w:left="142" w:right="283"/>
        <w:jc w:val="both"/>
        <w:rPr>
          <w:sz w:val="28"/>
        </w:rPr>
      </w:pPr>
    </w:p>
    <w:p w:rsidR="006405C5" w:rsidRDefault="006405C5" w:rsidP="006405C5">
      <w:pPr>
        <w:ind w:left="142" w:right="283"/>
        <w:jc w:val="both"/>
        <w:rPr>
          <w:sz w:val="28"/>
        </w:rPr>
      </w:pPr>
      <w:r>
        <w:rPr>
          <w:sz w:val="28"/>
        </w:rPr>
        <w:t>1/</w:t>
      </w:r>
      <w:r w:rsidR="00662E93">
        <w:rPr>
          <w:sz w:val="28"/>
        </w:rPr>
        <w:t xml:space="preserve"> Désignation d’un Administrateur, représentant le Groupe Hôtellerie, Tourisme et Thermalisme.</w:t>
      </w:r>
    </w:p>
    <w:p w:rsidR="002E41DF" w:rsidRDefault="002E41DF" w:rsidP="00DA2E24">
      <w:pPr>
        <w:ind w:right="283"/>
        <w:jc w:val="both"/>
        <w:rPr>
          <w:sz w:val="28"/>
        </w:rPr>
      </w:pPr>
    </w:p>
    <w:p w:rsidR="002E41DF" w:rsidRDefault="006405C5" w:rsidP="00662E93">
      <w:pPr>
        <w:ind w:left="142" w:right="283"/>
        <w:jc w:val="both"/>
        <w:rPr>
          <w:sz w:val="28"/>
        </w:rPr>
      </w:pPr>
      <w:r>
        <w:rPr>
          <w:sz w:val="28"/>
        </w:rPr>
        <w:t>2</w:t>
      </w:r>
      <w:r w:rsidR="000B6A42">
        <w:rPr>
          <w:sz w:val="28"/>
        </w:rPr>
        <w:t>/ Exame</w:t>
      </w:r>
      <w:r w:rsidR="000C7817">
        <w:rPr>
          <w:sz w:val="28"/>
        </w:rPr>
        <w:t>n à l’échelle de la Chaine EL-</w:t>
      </w:r>
      <w:proofErr w:type="spellStart"/>
      <w:r w:rsidR="000C7817">
        <w:rPr>
          <w:sz w:val="28"/>
        </w:rPr>
        <w:t>Auras</w:t>
      </w:r>
      <w:r w:rsidR="00DA2E24">
        <w:rPr>
          <w:sz w:val="28"/>
        </w:rPr>
        <w:t>si</w:t>
      </w:r>
      <w:proofErr w:type="spellEnd"/>
      <w:r w:rsidR="00DA2E24">
        <w:rPr>
          <w:sz w:val="28"/>
        </w:rPr>
        <w:t xml:space="preserve">, de la </w:t>
      </w:r>
      <w:r w:rsidR="00662E93">
        <w:rPr>
          <w:sz w:val="28"/>
        </w:rPr>
        <w:t>situation portant sur les créances</w:t>
      </w:r>
      <w:r>
        <w:rPr>
          <w:sz w:val="28"/>
        </w:rPr>
        <w:t xml:space="preserve"> débiteurs ville, débiteurs hôtel et chèques impayés </w:t>
      </w:r>
      <w:r w:rsidR="00662E93">
        <w:rPr>
          <w:sz w:val="28"/>
        </w:rPr>
        <w:t xml:space="preserve">à porter en pertes de valeurs , </w:t>
      </w:r>
      <w:r w:rsidR="00DA2E24">
        <w:rPr>
          <w:sz w:val="28"/>
        </w:rPr>
        <w:t>au titre de l’e</w:t>
      </w:r>
      <w:r>
        <w:rPr>
          <w:sz w:val="28"/>
        </w:rPr>
        <w:t>xercice clos au 31 Décemb</w:t>
      </w:r>
      <w:r w:rsidR="00662E93">
        <w:rPr>
          <w:sz w:val="28"/>
        </w:rPr>
        <w:t>re 2021</w:t>
      </w:r>
      <w:r w:rsidR="00DA2E24">
        <w:rPr>
          <w:sz w:val="28"/>
        </w:rPr>
        <w:t>.</w:t>
      </w:r>
    </w:p>
    <w:p w:rsidR="00DA2E24" w:rsidRDefault="00DA2E24" w:rsidP="00DA2E24">
      <w:pPr>
        <w:ind w:left="142" w:right="283"/>
        <w:jc w:val="both"/>
        <w:rPr>
          <w:sz w:val="28"/>
        </w:rPr>
      </w:pPr>
    </w:p>
    <w:p w:rsidR="002E41DF" w:rsidRDefault="006405C5" w:rsidP="00662E93">
      <w:pPr>
        <w:ind w:left="142" w:right="283"/>
        <w:jc w:val="both"/>
        <w:rPr>
          <w:sz w:val="28"/>
        </w:rPr>
      </w:pPr>
      <w:r>
        <w:rPr>
          <w:sz w:val="28"/>
        </w:rPr>
        <w:t>3</w:t>
      </w:r>
      <w:r w:rsidR="000C7817">
        <w:rPr>
          <w:sz w:val="28"/>
        </w:rPr>
        <w:t>/ Examen à l’échelle de la Chaine EL-</w:t>
      </w:r>
      <w:proofErr w:type="spellStart"/>
      <w:r w:rsidR="000C7817">
        <w:rPr>
          <w:sz w:val="28"/>
        </w:rPr>
        <w:t>Aurassi</w:t>
      </w:r>
      <w:proofErr w:type="spellEnd"/>
      <w:r w:rsidR="000C7817">
        <w:rPr>
          <w:sz w:val="28"/>
        </w:rPr>
        <w:t xml:space="preserve"> de la </w:t>
      </w:r>
      <w:r w:rsidR="00662E93">
        <w:rPr>
          <w:sz w:val="28"/>
        </w:rPr>
        <w:t xml:space="preserve">situation des stocks, toutes natures confondues à porter, en pertes </w:t>
      </w:r>
      <w:r>
        <w:rPr>
          <w:sz w:val="28"/>
        </w:rPr>
        <w:t xml:space="preserve"> de </w:t>
      </w:r>
      <w:r w:rsidR="00662E93">
        <w:rPr>
          <w:sz w:val="28"/>
        </w:rPr>
        <w:t xml:space="preserve">valeurs, </w:t>
      </w:r>
      <w:r w:rsidR="00DA2E24">
        <w:rPr>
          <w:sz w:val="28"/>
        </w:rPr>
        <w:t>au titre de l’exercice clos au</w:t>
      </w:r>
      <w:r w:rsidR="00662E93">
        <w:rPr>
          <w:sz w:val="28"/>
        </w:rPr>
        <w:t xml:space="preserve"> 31 Décembre 2021.</w:t>
      </w:r>
    </w:p>
    <w:p w:rsidR="006105A9" w:rsidRDefault="006105A9" w:rsidP="002E41DF">
      <w:pPr>
        <w:ind w:left="142" w:right="283"/>
        <w:jc w:val="both"/>
        <w:rPr>
          <w:sz w:val="28"/>
        </w:rPr>
      </w:pPr>
    </w:p>
    <w:p w:rsidR="006105A9" w:rsidRDefault="006405C5" w:rsidP="002E41DF">
      <w:pPr>
        <w:ind w:left="142" w:right="283"/>
        <w:jc w:val="both"/>
        <w:rPr>
          <w:sz w:val="28"/>
        </w:rPr>
      </w:pPr>
      <w:r>
        <w:rPr>
          <w:sz w:val="28"/>
        </w:rPr>
        <w:t>4</w:t>
      </w:r>
      <w:r w:rsidR="000B6A42">
        <w:rPr>
          <w:sz w:val="28"/>
        </w:rPr>
        <w:t xml:space="preserve">/ Examen </w:t>
      </w:r>
      <w:r w:rsidR="00043437">
        <w:rPr>
          <w:sz w:val="28"/>
        </w:rPr>
        <w:t xml:space="preserve">de la situation relative aux absences répétées d’un administrateur, représentant l’actionnaire principal. </w:t>
      </w:r>
    </w:p>
    <w:p w:rsidR="006405C5" w:rsidRDefault="006405C5" w:rsidP="002E41DF">
      <w:pPr>
        <w:ind w:left="142" w:right="283"/>
        <w:jc w:val="both"/>
        <w:rPr>
          <w:sz w:val="28"/>
        </w:rPr>
      </w:pPr>
    </w:p>
    <w:p w:rsidR="00043437" w:rsidRDefault="006405C5" w:rsidP="00043437">
      <w:pPr>
        <w:ind w:left="142" w:right="283"/>
        <w:jc w:val="both"/>
        <w:rPr>
          <w:sz w:val="28"/>
        </w:rPr>
      </w:pPr>
      <w:r>
        <w:rPr>
          <w:sz w:val="28"/>
        </w:rPr>
        <w:t>5</w:t>
      </w:r>
      <w:r w:rsidR="00186D49">
        <w:rPr>
          <w:sz w:val="28"/>
        </w:rPr>
        <w:t xml:space="preserve">/ </w:t>
      </w:r>
      <w:r w:rsidR="00043437">
        <w:rPr>
          <w:sz w:val="28"/>
        </w:rPr>
        <w:t>Examen de la situation des écarts d’inventaires dégagés à la date du 31 Décembre 2021, au titre des opérations d’inventaires physiques des immobilisations et des stocks, toutes natures confondues.</w:t>
      </w:r>
    </w:p>
    <w:p w:rsidR="006405C5" w:rsidRDefault="006405C5" w:rsidP="002E41DF">
      <w:pPr>
        <w:ind w:left="142" w:right="283"/>
        <w:jc w:val="both"/>
        <w:rPr>
          <w:sz w:val="28"/>
        </w:rPr>
      </w:pPr>
    </w:p>
    <w:p w:rsidR="00AC0336" w:rsidRDefault="00043437" w:rsidP="002E41DF">
      <w:pPr>
        <w:ind w:left="142" w:right="283"/>
        <w:jc w:val="both"/>
        <w:rPr>
          <w:sz w:val="28"/>
        </w:rPr>
      </w:pPr>
      <w:r>
        <w:rPr>
          <w:sz w:val="28"/>
        </w:rPr>
        <w:t>6/ Examen du contrat de performance du Gestionnaire Salarié Principal établi au titre de l’année 2022.</w:t>
      </w:r>
    </w:p>
    <w:p w:rsidR="00AC0336" w:rsidRDefault="00AC0336" w:rsidP="002E41DF">
      <w:pPr>
        <w:ind w:left="142" w:right="283"/>
        <w:jc w:val="both"/>
        <w:rPr>
          <w:sz w:val="28"/>
        </w:rPr>
      </w:pPr>
    </w:p>
    <w:p w:rsidR="006405C5" w:rsidRDefault="00AC0336" w:rsidP="00AC0336">
      <w:pPr>
        <w:ind w:left="142" w:right="283"/>
        <w:jc w:val="both"/>
        <w:rPr>
          <w:sz w:val="28"/>
        </w:rPr>
      </w:pPr>
      <w:r>
        <w:rPr>
          <w:sz w:val="28"/>
        </w:rPr>
        <w:t>7/  Examen du rapport de gestion du Conseil d’Administration de l’exerci</w:t>
      </w:r>
      <w:r w:rsidR="00043437">
        <w:rPr>
          <w:sz w:val="28"/>
        </w:rPr>
        <w:t>ce clos au 31 Décembre 2021</w:t>
      </w:r>
      <w:r>
        <w:rPr>
          <w:sz w:val="28"/>
        </w:rPr>
        <w:t>.</w:t>
      </w:r>
    </w:p>
    <w:p w:rsidR="000C7817" w:rsidRDefault="000C7817" w:rsidP="002E41DF">
      <w:pPr>
        <w:ind w:left="142" w:right="283"/>
        <w:jc w:val="both"/>
        <w:rPr>
          <w:sz w:val="28"/>
        </w:rPr>
      </w:pPr>
    </w:p>
    <w:p w:rsidR="000C7817" w:rsidRDefault="00AC0336" w:rsidP="002E41DF">
      <w:pPr>
        <w:ind w:left="142" w:right="283"/>
        <w:jc w:val="both"/>
        <w:rPr>
          <w:sz w:val="28"/>
        </w:rPr>
      </w:pPr>
      <w:r>
        <w:rPr>
          <w:sz w:val="28"/>
        </w:rPr>
        <w:t>8</w:t>
      </w:r>
      <w:r w:rsidR="000C7817">
        <w:rPr>
          <w:sz w:val="28"/>
        </w:rPr>
        <w:t>/ Examen des états financiers à l’échelle de la Chaine EL-</w:t>
      </w:r>
      <w:proofErr w:type="spellStart"/>
      <w:r w:rsidR="000C7817">
        <w:rPr>
          <w:sz w:val="28"/>
        </w:rPr>
        <w:t>Aur</w:t>
      </w:r>
      <w:r w:rsidR="00186D49">
        <w:rPr>
          <w:sz w:val="28"/>
        </w:rPr>
        <w:t>assi</w:t>
      </w:r>
      <w:proofErr w:type="spellEnd"/>
      <w:r w:rsidR="00186D49">
        <w:rPr>
          <w:sz w:val="28"/>
        </w:rPr>
        <w:t xml:space="preserve"> arrêtés au 31 Décembr</w:t>
      </w:r>
      <w:r w:rsidR="00043437">
        <w:rPr>
          <w:sz w:val="28"/>
        </w:rPr>
        <w:t>e 2021</w:t>
      </w:r>
      <w:r w:rsidR="000C7817">
        <w:rPr>
          <w:sz w:val="28"/>
        </w:rPr>
        <w:t>.</w:t>
      </w:r>
    </w:p>
    <w:p w:rsidR="006105A9" w:rsidRDefault="006105A9" w:rsidP="002E41DF">
      <w:pPr>
        <w:ind w:left="142" w:right="283"/>
        <w:jc w:val="both"/>
        <w:rPr>
          <w:sz w:val="28"/>
        </w:rPr>
      </w:pPr>
    </w:p>
    <w:p w:rsidR="006105A9" w:rsidRDefault="00AC0336" w:rsidP="002E41DF">
      <w:pPr>
        <w:ind w:left="142" w:right="283"/>
        <w:jc w:val="both"/>
        <w:rPr>
          <w:sz w:val="28"/>
        </w:rPr>
      </w:pPr>
      <w:r>
        <w:rPr>
          <w:sz w:val="28"/>
        </w:rPr>
        <w:t>9</w:t>
      </w:r>
      <w:r w:rsidR="006105A9">
        <w:rPr>
          <w:sz w:val="28"/>
        </w:rPr>
        <w:t>/ Examen du</w:t>
      </w:r>
      <w:r w:rsidR="00043437">
        <w:rPr>
          <w:sz w:val="28"/>
        </w:rPr>
        <w:t xml:space="preserve"> bilan social de l'exercice 2021</w:t>
      </w:r>
      <w:r w:rsidR="006105A9">
        <w:rPr>
          <w:sz w:val="28"/>
        </w:rPr>
        <w:t>.</w:t>
      </w:r>
    </w:p>
    <w:p w:rsidR="002E41DF" w:rsidRDefault="002E41DF" w:rsidP="002E41DF">
      <w:pPr>
        <w:ind w:left="142" w:right="283"/>
        <w:jc w:val="both"/>
        <w:rPr>
          <w:sz w:val="28"/>
        </w:rPr>
      </w:pPr>
    </w:p>
    <w:p w:rsidR="002B148A" w:rsidRDefault="00AC0336" w:rsidP="002E41DF">
      <w:pPr>
        <w:ind w:left="142" w:right="283"/>
        <w:jc w:val="both"/>
        <w:rPr>
          <w:sz w:val="28"/>
        </w:rPr>
      </w:pPr>
      <w:r>
        <w:rPr>
          <w:sz w:val="28"/>
        </w:rPr>
        <w:t>10</w:t>
      </w:r>
      <w:r w:rsidR="000C7817">
        <w:rPr>
          <w:sz w:val="28"/>
        </w:rPr>
        <w:t xml:space="preserve">/ Examen du projet </w:t>
      </w:r>
      <w:r w:rsidR="00475A02">
        <w:rPr>
          <w:sz w:val="28"/>
        </w:rPr>
        <w:t xml:space="preserve"> de résolutions à soumettre à l'Assemblée Générale Ordinaire des Actionnaires de la SPA EGH Chaine EL-</w:t>
      </w:r>
      <w:proofErr w:type="spellStart"/>
      <w:r w:rsidR="00475A02">
        <w:rPr>
          <w:sz w:val="28"/>
        </w:rPr>
        <w:t>Aurassi</w:t>
      </w:r>
      <w:proofErr w:type="spellEnd"/>
      <w:r>
        <w:rPr>
          <w:sz w:val="28"/>
        </w:rPr>
        <w:t>.</w:t>
      </w:r>
    </w:p>
    <w:p w:rsidR="00A8451B" w:rsidRDefault="00A8451B" w:rsidP="002E41DF">
      <w:pPr>
        <w:ind w:left="142" w:right="283"/>
        <w:jc w:val="both"/>
        <w:rPr>
          <w:sz w:val="28"/>
        </w:rPr>
      </w:pPr>
    </w:p>
    <w:p w:rsidR="00261131" w:rsidRDefault="00AC0336" w:rsidP="000C7817">
      <w:pPr>
        <w:ind w:left="142" w:right="283"/>
        <w:jc w:val="both"/>
        <w:rPr>
          <w:sz w:val="28"/>
        </w:rPr>
      </w:pPr>
      <w:r>
        <w:rPr>
          <w:sz w:val="28"/>
        </w:rPr>
        <w:t>11</w:t>
      </w:r>
      <w:r w:rsidR="00475A02">
        <w:rPr>
          <w:sz w:val="28"/>
        </w:rPr>
        <w:t>/ Convocation de l'Assemblée Générale Ordinaire des Actionnaires de la SPA EGH Chaine EL-</w:t>
      </w:r>
      <w:proofErr w:type="spellStart"/>
      <w:r w:rsidR="00475A02">
        <w:rPr>
          <w:sz w:val="28"/>
        </w:rPr>
        <w:t>Aurassi</w:t>
      </w:r>
      <w:proofErr w:type="spellEnd"/>
      <w:r w:rsidR="00475A02">
        <w:rPr>
          <w:sz w:val="28"/>
        </w:rPr>
        <w:t>, appelée à statue</w:t>
      </w:r>
      <w:r w:rsidR="00772D2B">
        <w:rPr>
          <w:sz w:val="28"/>
        </w:rPr>
        <w:t>r sur le rapport de gestion du Conseil d'A</w:t>
      </w:r>
      <w:r w:rsidR="00475A02">
        <w:rPr>
          <w:sz w:val="28"/>
        </w:rPr>
        <w:t xml:space="preserve">dministration et les états </w:t>
      </w:r>
      <w:r>
        <w:rPr>
          <w:sz w:val="28"/>
        </w:rPr>
        <w:t>financiers arrêtés a</w:t>
      </w:r>
      <w:r w:rsidR="00043437">
        <w:rPr>
          <w:sz w:val="28"/>
        </w:rPr>
        <w:t>u 31/12/2021</w:t>
      </w:r>
      <w:r w:rsidR="00186D49">
        <w:rPr>
          <w:sz w:val="28"/>
        </w:rPr>
        <w:t>.</w:t>
      </w:r>
    </w:p>
    <w:p w:rsidR="00E81A4C" w:rsidRDefault="00E81A4C" w:rsidP="00072884">
      <w:pPr>
        <w:ind w:right="283"/>
        <w:jc w:val="both"/>
        <w:rPr>
          <w:sz w:val="28"/>
        </w:rPr>
      </w:pPr>
    </w:p>
    <w:p w:rsidR="002E41DF" w:rsidRDefault="00393FCC" w:rsidP="002E41DF">
      <w:pPr>
        <w:ind w:right="283"/>
        <w:jc w:val="both"/>
        <w:rPr>
          <w:b/>
          <w:color w:val="0000FF"/>
          <w:sz w:val="28"/>
          <w:u w:val="single"/>
        </w:rPr>
      </w:pPr>
      <w:r>
        <w:rPr>
          <w:b/>
          <w:color w:val="0000FF"/>
          <w:sz w:val="28"/>
          <w:u w:val="single"/>
        </w:rPr>
        <w:t>2</w:t>
      </w:r>
      <w:r w:rsidR="002E41DF">
        <w:rPr>
          <w:b/>
          <w:color w:val="0000FF"/>
          <w:sz w:val="28"/>
          <w:u w:val="single"/>
        </w:rPr>
        <w:t>-2 Fai</w:t>
      </w:r>
      <w:r>
        <w:rPr>
          <w:b/>
          <w:color w:val="0000FF"/>
          <w:sz w:val="28"/>
          <w:u w:val="single"/>
        </w:rPr>
        <w:t>ts sa</w:t>
      </w:r>
      <w:r w:rsidR="000C7817">
        <w:rPr>
          <w:b/>
          <w:color w:val="0000FF"/>
          <w:sz w:val="28"/>
          <w:u w:val="single"/>
        </w:rPr>
        <w:t>illants</w:t>
      </w:r>
      <w:r w:rsidR="00E21FA0">
        <w:rPr>
          <w:b/>
          <w:color w:val="0000FF"/>
          <w:sz w:val="28"/>
          <w:u w:val="single"/>
        </w:rPr>
        <w:t xml:space="preserve"> du premier semestre 2022</w:t>
      </w:r>
      <w:r w:rsidR="002E41DF">
        <w:rPr>
          <w:b/>
          <w:color w:val="0000FF"/>
          <w:sz w:val="28"/>
          <w:u w:val="single"/>
        </w:rPr>
        <w:t> :</w:t>
      </w:r>
    </w:p>
    <w:p w:rsidR="002E41DF" w:rsidRDefault="002E41DF" w:rsidP="002E41DF">
      <w:pPr>
        <w:ind w:right="283"/>
        <w:jc w:val="both"/>
        <w:rPr>
          <w:sz w:val="28"/>
        </w:rPr>
      </w:pPr>
    </w:p>
    <w:p w:rsidR="00AC0336" w:rsidRDefault="002E41DF" w:rsidP="00AC0336">
      <w:pPr>
        <w:ind w:right="283"/>
        <w:jc w:val="both"/>
        <w:rPr>
          <w:sz w:val="28"/>
        </w:rPr>
      </w:pPr>
      <w:r>
        <w:rPr>
          <w:sz w:val="28"/>
        </w:rPr>
        <w:t>L’ac</w:t>
      </w:r>
      <w:r w:rsidR="00043437">
        <w:rPr>
          <w:sz w:val="28"/>
        </w:rPr>
        <w:t>tivité du premier semestre 2022</w:t>
      </w:r>
      <w:r w:rsidR="00186D49">
        <w:rPr>
          <w:sz w:val="28"/>
        </w:rPr>
        <w:t xml:space="preserve"> a été marquée par</w:t>
      </w:r>
      <w:r w:rsidR="00043437">
        <w:rPr>
          <w:sz w:val="28"/>
        </w:rPr>
        <w:t xml:space="preserve">une reprise </w:t>
      </w:r>
      <w:r w:rsidR="00F102DC">
        <w:rPr>
          <w:sz w:val="28"/>
        </w:rPr>
        <w:t xml:space="preserve">timide et </w:t>
      </w:r>
      <w:r w:rsidR="00043437">
        <w:rPr>
          <w:sz w:val="28"/>
        </w:rPr>
        <w:t>progressive de l’activité</w:t>
      </w:r>
      <w:r w:rsidR="00F102DC">
        <w:rPr>
          <w:sz w:val="28"/>
        </w:rPr>
        <w:t>, comparativement aux années  2020 et 2021</w:t>
      </w:r>
      <w:r w:rsidR="005F72A2">
        <w:rPr>
          <w:sz w:val="28"/>
        </w:rPr>
        <w:t xml:space="preserve">, </w:t>
      </w:r>
      <w:r w:rsidR="00257AFB">
        <w:rPr>
          <w:sz w:val="28"/>
        </w:rPr>
        <w:t>caractérisées</w:t>
      </w:r>
      <w:r w:rsidR="00F102DC">
        <w:rPr>
          <w:sz w:val="28"/>
        </w:rPr>
        <w:t xml:space="preserve"> par </w:t>
      </w:r>
      <w:r w:rsidR="00AC0336">
        <w:rPr>
          <w:sz w:val="28"/>
        </w:rPr>
        <w:t>la crise sanitaire liée à la propagation de la pandémie de la COVID-19 et son lourd impac</w:t>
      </w:r>
      <w:r w:rsidR="00F102DC">
        <w:rPr>
          <w:sz w:val="28"/>
        </w:rPr>
        <w:t xml:space="preserve">t sur l’activité </w:t>
      </w:r>
      <w:r w:rsidR="00AC0336">
        <w:rPr>
          <w:sz w:val="28"/>
        </w:rPr>
        <w:t xml:space="preserve"> et sur l’ensemble des </w:t>
      </w:r>
      <w:r w:rsidR="00186D49">
        <w:rPr>
          <w:sz w:val="28"/>
        </w:rPr>
        <w:t xml:space="preserve"> indicateurs économiques et</w:t>
      </w:r>
      <w:r w:rsidR="00F102DC">
        <w:rPr>
          <w:sz w:val="28"/>
        </w:rPr>
        <w:t xml:space="preserve"> financiers de l’Entreprise. </w:t>
      </w:r>
    </w:p>
    <w:p w:rsidR="00F102DC" w:rsidRDefault="00F102DC" w:rsidP="00AC0336">
      <w:pPr>
        <w:ind w:right="283"/>
        <w:jc w:val="both"/>
        <w:rPr>
          <w:sz w:val="28"/>
        </w:rPr>
      </w:pPr>
      <w:r>
        <w:rPr>
          <w:sz w:val="28"/>
        </w:rPr>
        <w:t>Les évolutions enregistrées au titre du premier semestre 2022 se présentent comme suit :</w:t>
      </w:r>
    </w:p>
    <w:p w:rsidR="00AC0336" w:rsidRDefault="00AC0336" w:rsidP="002E41DF">
      <w:pPr>
        <w:ind w:right="283"/>
        <w:jc w:val="both"/>
        <w:rPr>
          <w:sz w:val="28"/>
        </w:rPr>
      </w:pPr>
    </w:p>
    <w:p w:rsidR="00614764" w:rsidRPr="00A705FD" w:rsidRDefault="002E41DF" w:rsidP="003C00AA">
      <w:pPr>
        <w:numPr>
          <w:ilvl w:val="0"/>
          <w:numId w:val="9"/>
        </w:numPr>
        <w:ind w:right="283"/>
        <w:jc w:val="both"/>
        <w:rPr>
          <w:sz w:val="28"/>
        </w:rPr>
      </w:pPr>
      <w:r>
        <w:rPr>
          <w:sz w:val="28"/>
        </w:rPr>
        <w:t>Le chiffre d’affaires global :</w:t>
      </w:r>
      <w:r>
        <w:rPr>
          <w:sz w:val="28"/>
        </w:rPr>
        <w:tab/>
      </w:r>
      <w:r>
        <w:rPr>
          <w:sz w:val="28"/>
        </w:rPr>
        <w:tab/>
      </w:r>
      <w:r>
        <w:rPr>
          <w:sz w:val="28"/>
        </w:rPr>
        <w:tab/>
      </w:r>
      <w:r w:rsidR="00E21FA0">
        <w:rPr>
          <w:sz w:val="28"/>
        </w:rPr>
        <w:t xml:space="preserve">               </w:t>
      </w:r>
      <w:r w:rsidR="00CB47C6">
        <w:rPr>
          <w:sz w:val="28"/>
        </w:rPr>
        <w:t>+</w:t>
      </w:r>
      <w:r w:rsidR="00C05750">
        <w:rPr>
          <w:sz w:val="28"/>
        </w:rPr>
        <w:t>68,6</w:t>
      </w:r>
      <w:r>
        <w:rPr>
          <w:sz w:val="28"/>
        </w:rPr>
        <w:t>%</w:t>
      </w:r>
      <w:r>
        <w:rPr>
          <w:sz w:val="28"/>
        </w:rPr>
        <w:tab/>
      </w:r>
    </w:p>
    <w:p w:rsidR="00614764" w:rsidRPr="00A705FD" w:rsidRDefault="002E41DF" w:rsidP="003C00AA">
      <w:pPr>
        <w:numPr>
          <w:ilvl w:val="0"/>
          <w:numId w:val="9"/>
        </w:numPr>
        <w:ind w:right="283"/>
        <w:jc w:val="both"/>
        <w:rPr>
          <w:sz w:val="28"/>
        </w:rPr>
      </w:pPr>
      <w:r>
        <w:rPr>
          <w:sz w:val="28"/>
        </w:rPr>
        <w:t>Le chiffre d’affaires chambre :</w:t>
      </w:r>
      <w:r>
        <w:rPr>
          <w:sz w:val="28"/>
        </w:rPr>
        <w:tab/>
      </w:r>
      <w:r>
        <w:rPr>
          <w:sz w:val="28"/>
        </w:rPr>
        <w:tab/>
      </w:r>
      <w:r w:rsidR="00E21FA0">
        <w:rPr>
          <w:sz w:val="28"/>
        </w:rPr>
        <w:t xml:space="preserve">                        </w:t>
      </w:r>
      <w:r w:rsidR="00CB47C6">
        <w:rPr>
          <w:sz w:val="28"/>
        </w:rPr>
        <w:t>+</w:t>
      </w:r>
      <w:r w:rsidR="00C05750">
        <w:rPr>
          <w:sz w:val="28"/>
        </w:rPr>
        <w:t>76</w:t>
      </w:r>
      <w:r w:rsidR="00CB47C6">
        <w:rPr>
          <w:sz w:val="28"/>
        </w:rPr>
        <w:t xml:space="preserve">,1 </w:t>
      </w:r>
      <w:r>
        <w:rPr>
          <w:sz w:val="28"/>
        </w:rPr>
        <w:t>%</w:t>
      </w:r>
      <w:r>
        <w:rPr>
          <w:sz w:val="28"/>
        </w:rPr>
        <w:tab/>
      </w:r>
    </w:p>
    <w:p w:rsidR="002E41DF" w:rsidRPr="00A705FD" w:rsidRDefault="002E41DF" w:rsidP="003C00AA">
      <w:pPr>
        <w:numPr>
          <w:ilvl w:val="0"/>
          <w:numId w:val="9"/>
        </w:numPr>
        <w:ind w:right="283"/>
        <w:jc w:val="both"/>
        <w:rPr>
          <w:sz w:val="28"/>
        </w:rPr>
      </w:pPr>
      <w:r>
        <w:rPr>
          <w:sz w:val="28"/>
        </w:rPr>
        <w:t>Le ch</w:t>
      </w:r>
      <w:r w:rsidR="00EB1F95">
        <w:rPr>
          <w:sz w:val="28"/>
        </w:rPr>
        <w:t>iffre</w:t>
      </w:r>
      <w:r w:rsidR="00CB47C6">
        <w:rPr>
          <w:sz w:val="28"/>
        </w:rPr>
        <w:t xml:space="preserve"> d’affaires restaurants</w:t>
      </w:r>
      <w:r w:rsidR="00CB47C6">
        <w:rPr>
          <w:sz w:val="28"/>
        </w:rPr>
        <w:tab/>
        <w:t>:</w:t>
      </w:r>
      <w:r w:rsidR="00E21FA0">
        <w:rPr>
          <w:sz w:val="28"/>
        </w:rPr>
        <w:t xml:space="preserve">                       </w:t>
      </w:r>
      <w:r w:rsidR="00CB47C6">
        <w:rPr>
          <w:sz w:val="28"/>
        </w:rPr>
        <w:t>+</w:t>
      </w:r>
      <w:r w:rsidR="00C05750">
        <w:rPr>
          <w:sz w:val="28"/>
        </w:rPr>
        <w:t>70,4</w:t>
      </w:r>
      <w:r>
        <w:rPr>
          <w:sz w:val="28"/>
        </w:rPr>
        <w:t>%</w:t>
      </w:r>
    </w:p>
    <w:p w:rsidR="004C56EC" w:rsidRPr="00A705FD" w:rsidRDefault="002E41DF" w:rsidP="003C00AA">
      <w:pPr>
        <w:numPr>
          <w:ilvl w:val="0"/>
          <w:numId w:val="9"/>
        </w:numPr>
        <w:ind w:right="283"/>
        <w:jc w:val="both"/>
        <w:rPr>
          <w:sz w:val="28"/>
        </w:rPr>
      </w:pPr>
      <w:r>
        <w:rPr>
          <w:sz w:val="28"/>
        </w:rPr>
        <w:t xml:space="preserve">Cotation du cours du titre El </w:t>
      </w:r>
      <w:proofErr w:type="spellStart"/>
      <w:r>
        <w:rPr>
          <w:sz w:val="28"/>
        </w:rPr>
        <w:t>Aurassi</w:t>
      </w:r>
      <w:proofErr w:type="spellEnd"/>
      <w:r>
        <w:rPr>
          <w:sz w:val="28"/>
        </w:rPr>
        <w:t xml:space="preserve"> :  </w:t>
      </w:r>
      <w:r w:rsidR="00E21FA0">
        <w:rPr>
          <w:sz w:val="28"/>
        </w:rPr>
        <w:t xml:space="preserve">                 </w:t>
      </w:r>
      <w:r>
        <w:rPr>
          <w:sz w:val="28"/>
        </w:rPr>
        <w:t xml:space="preserve">  </w:t>
      </w:r>
      <w:r w:rsidR="00C05750">
        <w:rPr>
          <w:sz w:val="28"/>
        </w:rPr>
        <w:t>495</w:t>
      </w:r>
      <w:r>
        <w:rPr>
          <w:sz w:val="28"/>
        </w:rPr>
        <w:t>,00 DA</w:t>
      </w:r>
    </w:p>
    <w:p w:rsidR="002E41DF" w:rsidRDefault="004C56EC" w:rsidP="003C00AA">
      <w:pPr>
        <w:numPr>
          <w:ilvl w:val="0"/>
          <w:numId w:val="9"/>
        </w:numPr>
        <w:ind w:right="283"/>
        <w:jc w:val="both"/>
        <w:rPr>
          <w:sz w:val="28"/>
        </w:rPr>
      </w:pPr>
      <w:r>
        <w:rPr>
          <w:sz w:val="28"/>
        </w:rPr>
        <w:t xml:space="preserve">Valeur Ajoutée                                             </w:t>
      </w:r>
      <w:r w:rsidR="00E21FA0">
        <w:rPr>
          <w:sz w:val="28"/>
        </w:rPr>
        <w:t xml:space="preserve">         </w:t>
      </w:r>
      <w:r>
        <w:rPr>
          <w:sz w:val="28"/>
        </w:rPr>
        <w:t xml:space="preserve">  </w:t>
      </w:r>
      <w:r w:rsidR="00CB47C6">
        <w:rPr>
          <w:sz w:val="28"/>
        </w:rPr>
        <w:t>+</w:t>
      </w:r>
      <w:r w:rsidR="00C05750">
        <w:rPr>
          <w:sz w:val="28"/>
        </w:rPr>
        <w:t>92,9</w:t>
      </w:r>
      <w:r w:rsidR="007E7B94">
        <w:rPr>
          <w:sz w:val="28"/>
        </w:rPr>
        <w:t>%</w:t>
      </w:r>
    </w:p>
    <w:p w:rsidR="00CB47C6" w:rsidRPr="00A705FD" w:rsidRDefault="00CB47C6" w:rsidP="003C00AA">
      <w:pPr>
        <w:numPr>
          <w:ilvl w:val="0"/>
          <w:numId w:val="9"/>
        </w:numPr>
        <w:ind w:right="283"/>
        <w:jc w:val="both"/>
        <w:rPr>
          <w:sz w:val="28"/>
        </w:rPr>
      </w:pPr>
      <w:r>
        <w:rPr>
          <w:sz w:val="28"/>
        </w:rPr>
        <w:t>Excédent brut d’exploitati</w:t>
      </w:r>
      <w:r w:rsidR="00C05750">
        <w:rPr>
          <w:sz w:val="28"/>
        </w:rPr>
        <w:t xml:space="preserve">on          </w:t>
      </w:r>
      <w:r w:rsidR="00E21FA0">
        <w:rPr>
          <w:sz w:val="28"/>
        </w:rPr>
        <w:t xml:space="preserve">                       </w:t>
      </w:r>
      <w:r w:rsidR="00C05750">
        <w:rPr>
          <w:sz w:val="28"/>
        </w:rPr>
        <w:t xml:space="preserve"> +627,3</w:t>
      </w:r>
      <w:r>
        <w:rPr>
          <w:sz w:val="28"/>
        </w:rPr>
        <w:t>%</w:t>
      </w:r>
    </w:p>
    <w:p w:rsidR="000A4AB7" w:rsidRPr="000A4AB7" w:rsidRDefault="00614764" w:rsidP="003C00AA">
      <w:pPr>
        <w:numPr>
          <w:ilvl w:val="0"/>
          <w:numId w:val="9"/>
        </w:numPr>
        <w:ind w:right="283"/>
        <w:jc w:val="both"/>
        <w:rPr>
          <w:sz w:val="28"/>
        </w:rPr>
      </w:pPr>
      <w:r>
        <w:rPr>
          <w:sz w:val="28"/>
        </w:rPr>
        <w:t xml:space="preserve">Le résultat </w:t>
      </w:r>
      <w:r w:rsidR="00CD2BB2">
        <w:rPr>
          <w:sz w:val="28"/>
        </w:rPr>
        <w:t xml:space="preserve">global déficitaire </w:t>
      </w:r>
      <w:r w:rsidR="000B6A42">
        <w:rPr>
          <w:sz w:val="28"/>
        </w:rPr>
        <w:t xml:space="preserve">du </w:t>
      </w:r>
      <w:r w:rsidR="00CB47C6">
        <w:rPr>
          <w:sz w:val="28"/>
        </w:rPr>
        <w:t xml:space="preserve">semestre </w:t>
      </w:r>
      <w:r w:rsidR="00C05750">
        <w:rPr>
          <w:sz w:val="28"/>
        </w:rPr>
        <w:t>: 189,5</w:t>
      </w:r>
      <w:r w:rsidR="00CB47C6">
        <w:rPr>
          <w:sz w:val="28"/>
        </w:rPr>
        <w:t xml:space="preserve"> Millions de DA, soit -</w:t>
      </w:r>
      <w:r w:rsidR="00C05750">
        <w:rPr>
          <w:sz w:val="28"/>
        </w:rPr>
        <w:t xml:space="preserve"> 40,1</w:t>
      </w:r>
      <w:r w:rsidR="00CB47C6">
        <w:rPr>
          <w:sz w:val="28"/>
        </w:rPr>
        <w:t>%.</w:t>
      </w:r>
    </w:p>
    <w:p w:rsidR="008403EF" w:rsidRPr="00DD3D98" w:rsidRDefault="008403EF" w:rsidP="00DD3D98">
      <w:pPr>
        <w:rPr>
          <w:sz w:val="28"/>
        </w:rPr>
      </w:pPr>
    </w:p>
    <w:p w:rsidR="002E41DF" w:rsidRDefault="00AB5DAA" w:rsidP="002E41DF">
      <w:pPr>
        <w:ind w:right="283"/>
        <w:jc w:val="both"/>
        <w:rPr>
          <w:sz w:val="28"/>
        </w:rPr>
      </w:pPr>
      <w:r>
        <w:rPr>
          <w:sz w:val="28"/>
        </w:rPr>
        <w:t>Le premier semestr</w:t>
      </w:r>
      <w:r w:rsidR="00F102DC">
        <w:rPr>
          <w:sz w:val="28"/>
        </w:rPr>
        <w:t>e 2022</w:t>
      </w:r>
      <w:r w:rsidR="00E21FA0">
        <w:rPr>
          <w:sz w:val="28"/>
        </w:rPr>
        <w:t xml:space="preserve"> </w:t>
      </w:r>
      <w:r w:rsidR="002E41DF">
        <w:rPr>
          <w:sz w:val="28"/>
        </w:rPr>
        <w:t>a été marqué par :</w:t>
      </w:r>
    </w:p>
    <w:p w:rsidR="002E41DF" w:rsidRDefault="002E41DF" w:rsidP="002E41DF">
      <w:pPr>
        <w:ind w:right="283"/>
        <w:jc w:val="both"/>
        <w:rPr>
          <w:sz w:val="28"/>
        </w:rPr>
      </w:pPr>
    </w:p>
    <w:p w:rsidR="00F72D87" w:rsidRPr="000B6A42" w:rsidRDefault="005144E8" w:rsidP="003C00AA">
      <w:pPr>
        <w:numPr>
          <w:ilvl w:val="0"/>
          <w:numId w:val="18"/>
        </w:numPr>
        <w:ind w:right="283"/>
        <w:jc w:val="both"/>
        <w:rPr>
          <w:sz w:val="28"/>
        </w:rPr>
      </w:pPr>
      <w:r>
        <w:rPr>
          <w:sz w:val="28"/>
        </w:rPr>
        <w:t xml:space="preserve">La Mission effectuée à compter du </w:t>
      </w:r>
      <w:r w:rsidR="00F102DC">
        <w:rPr>
          <w:sz w:val="28"/>
        </w:rPr>
        <w:t xml:space="preserve">15 Mai 2022 et jusqu’au 18 Juillet 2022, </w:t>
      </w:r>
      <w:r>
        <w:rPr>
          <w:sz w:val="28"/>
        </w:rPr>
        <w:t xml:space="preserve"> par l’Inspection Générale des </w:t>
      </w:r>
      <w:r w:rsidR="00257AFB">
        <w:rPr>
          <w:sz w:val="28"/>
        </w:rPr>
        <w:t>Finances,</w:t>
      </w:r>
      <w:r>
        <w:rPr>
          <w:sz w:val="28"/>
        </w:rPr>
        <w:t xml:space="preserve">portant sur le contrôle de l’utilisation du financement </w:t>
      </w:r>
      <w:r w:rsidR="00F102DC">
        <w:rPr>
          <w:sz w:val="28"/>
        </w:rPr>
        <w:t xml:space="preserve">du plan de développement </w:t>
      </w:r>
      <w:r>
        <w:rPr>
          <w:sz w:val="28"/>
        </w:rPr>
        <w:t>accordé à l’EGH Chaine EL-</w:t>
      </w:r>
      <w:proofErr w:type="spellStart"/>
      <w:r>
        <w:rPr>
          <w:sz w:val="28"/>
        </w:rPr>
        <w:t>Aurassi</w:t>
      </w:r>
      <w:proofErr w:type="spellEnd"/>
      <w:r>
        <w:rPr>
          <w:sz w:val="28"/>
        </w:rPr>
        <w:t xml:space="preserve">, dans le cadre de l’opération de </w:t>
      </w:r>
      <w:r w:rsidR="00F102DC">
        <w:rPr>
          <w:sz w:val="28"/>
        </w:rPr>
        <w:t xml:space="preserve">réhabilitation et de modernisation des </w:t>
      </w:r>
      <w:r w:rsidR="00257AFB">
        <w:rPr>
          <w:sz w:val="28"/>
        </w:rPr>
        <w:t>unités,</w:t>
      </w:r>
      <w:r w:rsidR="00F102DC">
        <w:rPr>
          <w:sz w:val="28"/>
        </w:rPr>
        <w:t xml:space="preserve"> Hôtel </w:t>
      </w:r>
      <w:proofErr w:type="spellStart"/>
      <w:r w:rsidR="00F102DC">
        <w:rPr>
          <w:sz w:val="28"/>
        </w:rPr>
        <w:t>Rym</w:t>
      </w:r>
      <w:proofErr w:type="spellEnd"/>
      <w:r w:rsidR="00F102DC">
        <w:rPr>
          <w:sz w:val="28"/>
        </w:rPr>
        <w:t xml:space="preserve"> de Béni-Abbés et l’Hôtel EL-</w:t>
      </w:r>
      <w:proofErr w:type="spellStart"/>
      <w:r w:rsidR="00F102DC">
        <w:rPr>
          <w:sz w:val="28"/>
        </w:rPr>
        <w:t>Boustène</w:t>
      </w:r>
      <w:proofErr w:type="spellEnd"/>
      <w:r w:rsidR="00F102DC">
        <w:rPr>
          <w:sz w:val="28"/>
        </w:rPr>
        <w:t xml:space="preserve"> de </w:t>
      </w:r>
      <w:proofErr w:type="spellStart"/>
      <w:r w:rsidR="00F102DC">
        <w:rPr>
          <w:sz w:val="28"/>
        </w:rPr>
        <w:t>Ménéa</w:t>
      </w:r>
      <w:proofErr w:type="spellEnd"/>
      <w:r w:rsidR="00F102DC">
        <w:rPr>
          <w:sz w:val="28"/>
        </w:rPr>
        <w:t xml:space="preserve">. </w:t>
      </w:r>
    </w:p>
    <w:p w:rsidR="002E41DF" w:rsidRDefault="002E41DF" w:rsidP="002E41DF">
      <w:pPr>
        <w:ind w:right="283"/>
        <w:jc w:val="both"/>
        <w:rPr>
          <w:sz w:val="28"/>
        </w:rPr>
      </w:pPr>
    </w:p>
    <w:p w:rsidR="002E41DF" w:rsidRDefault="002E41DF" w:rsidP="00AB5DAA">
      <w:pPr>
        <w:ind w:left="360" w:right="283"/>
        <w:jc w:val="both"/>
        <w:rPr>
          <w:sz w:val="28"/>
        </w:rPr>
      </w:pPr>
      <w:r>
        <w:rPr>
          <w:sz w:val="28"/>
        </w:rPr>
        <w:t xml:space="preserve">A l’issue des séances tenues par </w:t>
      </w:r>
      <w:r w:rsidR="005144E8">
        <w:rPr>
          <w:sz w:val="28"/>
        </w:rPr>
        <w:t>le Conseil d’A</w:t>
      </w:r>
      <w:r>
        <w:rPr>
          <w:sz w:val="28"/>
        </w:rPr>
        <w:t>dminis</w:t>
      </w:r>
      <w:r w:rsidR="00626DB3">
        <w:rPr>
          <w:sz w:val="28"/>
        </w:rPr>
        <w:t>tra</w:t>
      </w:r>
      <w:r w:rsidR="006C5972">
        <w:rPr>
          <w:sz w:val="28"/>
        </w:rPr>
        <w:t>tion a</w:t>
      </w:r>
      <w:r w:rsidR="000B6A42">
        <w:rPr>
          <w:sz w:val="28"/>
        </w:rPr>
        <w:t xml:space="preserve">u titre du premier semestre </w:t>
      </w:r>
      <w:r w:rsidR="00F102DC">
        <w:rPr>
          <w:sz w:val="28"/>
        </w:rPr>
        <w:t>2022</w:t>
      </w:r>
      <w:r w:rsidR="00137C6B">
        <w:rPr>
          <w:sz w:val="28"/>
        </w:rPr>
        <w:t>,</w:t>
      </w:r>
      <w:r>
        <w:rPr>
          <w:sz w:val="28"/>
        </w:rPr>
        <w:t xml:space="preserve"> l’ensemble des résolutions vo</w:t>
      </w:r>
      <w:r w:rsidR="00626DB3">
        <w:rPr>
          <w:sz w:val="28"/>
        </w:rPr>
        <w:t>tées et des remarques formulées</w:t>
      </w:r>
      <w:r>
        <w:rPr>
          <w:sz w:val="28"/>
        </w:rPr>
        <w:t xml:space="preserve"> ont été prises en charge par l’entreprise.</w:t>
      </w:r>
    </w:p>
    <w:p w:rsidR="00AB5DAA" w:rsidRDefault="00AB5DAA" w:rsidP="00AB5DAA">
      <w:pPr>
        <w:ind w:left="360" w:right="283"/>
        <w:jc w:val="both"/>
        <w:rPr>
          <w:sz w:val="28"/>
        </w:rPr>
      </w:pPr>
    </w:p>
    <w:p w:rsidR="002E41DF" w:rsidRDefault="00393FCC" w:rsidP="002E41DF">
      <w:pPr>
        <w:ind w:right="283"/>
        <w:jc w:val="both"/>
        <w:rPr>
          <w:b/>
          <w:color w:val="FF0000"/>
          <w:sz w:val="32"/>
          <w:u w:val="single"/>
        </w:rPr>
      </w:pPr>
      <w:r>
        <w:rPr>
          <w:b/>
          <w:color w:val="FF0000"/>
          <w:sz w:val="32"/>
          <w:u w:val="single"/>
        </w:rPr>
        <w:t>3</w:t>
      </w:r>
      <w:r w:rsidR="002E41DF">
        <w:rPr>
          <w:b/>
          <w:color w:val="FF0000"/>
          <w:sz w:val="32"/>
          <w:u w:val="single"/>
        </w:rPr>
        <w:t>/ Analyse de la situation financière de l’entreprise</w:t>
      </w:r>
    </w:p>
    <w:p w:rsidR="002E41DF" w:rsidRDefault="002E41DF" w:rsidP="002E41DF">
      <w:pPr>
        <w:ind w:right="283"/>
        <w:jc w:val="both"/>
        <w:rPr>
          <w:b/>
          <w:color w:val="000080"/>
          <w:sz w:val="28"/>
          <w:u w:val="single"/>
        </w:rPr>
      </w:pPr>
    </w:p>
    <w:p w:rsidR="002E41DF" w:rsidRDefault="00393FCC" w:rsidP="002E41DF">
      <w:pPr>
        <w:ind w:right="283"/>
        <w:jc w:val="both"/>
        <w:rPr>
          <w:b/>
          <w:color w:val="0000FF"/>
          <w:sz w:val="28"/>
          <w:u w:val="single"/>
        </w:rPr>
      </w:pPr>
      <w:r>
        <w:rPr>
          <w:b/>
          <w:color w:val="0000FF"/>
          <w:sz w:val="28"/>
          <w:u w:val="single"/>
        </w:rPr>
        <w:t>3</w:t>
      </w:r>
      <w:r w:rsidR="002E41DF">
        <w:rPr>
          <w:b/>
          <w:color w:val="0000FF"/>
          <w:sz w:val="28"/>
          <w:u w:val="single"/>
        </w:rPr>
        <w:t>-1 Examen de</w:t>
      </w:r>
      <w:r w:rsidR="00626DB3">
        <w:rPr>
          <w:b/>
          <w:color w:val="0000FF"/>
          <w:sz w:val="28"/>
          <w:u w:val="single"/>
        </w:rPr>
        <w:t>s comptes</w:t>
      </w:r>
      <w:r>
        <w:rPr>
          <w:b/>
          <w:color w:val="0000FF"/>
          <w:sz w:val="28"/>
          <w:u w:val="single"/>
        </w:rPr>
        <w:t xml:space="preserve"> du bilan arrêtés a</w:t>
      </w:r>
      <w:r w:rsidR="00F102DC">
        <w:rPr>
          <w:b/>
          <w:color w:val="0000FF"/>
          <w:sz w:val="28"/>
          <w:u w:val="single"/>
        </w:rPr>
        <w:t>u titre du premier semestre 2022</w:t>
      </w:r>
    </w:p>
    <w:p w:rsidR="002E41DF" w:rsidRDefault="002E41DF" w:rsidP="002E41DF">
      <w:pPr>
        <w:ind w:right="283"/>
        <w:jc w:val="both"/>
        <w:rPr>
          <w:sz w:val="28"/>
        </w:rPr>
      </w:pPr>
    </w:p>
    <w:p w:rsidR="001B1A71" w:rsidRDefault="002E41DF" w:rsidP="00521348">
      <w:pPr>
        <w:ind w:right="283"/>
        <w:jc w:val="both"/>
        <w:rPr>
          <w:sz w:val="28"/>
        </w:rPr>
      </w:pPr>
      <w:r>
        <w:rPr>
          <w:sz w:val="28"/>
        </w:rPr>
        <w:t xml:space="preserve">Au </w:t>
      </w:r>
      <w:r w:rsidR="006C5972">
        <w:rPr>
          <w:sz w:val="28"/>
        </w:rPr>
        <w:t xml:space="preserve">30 Juin </w:t>
      </w:r>
      <w:r w:rsidR="001A56A0">
        <w:rPr>
          <w:sz w:val="28"/>
        </w:rPr>
        <w:t>2021</w:t>
      </w:r>
      <w:r>
        <w:rPr>
          <w:sz w:val="28"/>
        </w:rPr>
        <w:t>, le bilan cumulé totalise en actifs et passifs courants et non courants, un montant net</w:t>
      </w:r>
      <w:r w:rsidR="00626DB3">
        <w:rPr>
          <w:sz w:val="28"/>
        </w:rPr>
        <w:t xml:space="preserve"> de</w:t>
      </w:r>
      <w:r w:rsidR="00521348">
        <w:rPr>
          <w:sz w:val="28"/>
        </w:rPr>
        <w:t xml:space="preserve"> 9</w:t>
      </w:r>
      <w:r w:rsidR="005B21CD">
        <w:rPr>
          <w:sz w:val="28"/>
        </w:rPr>
        <w:t>.</w:t>
      </w:r>
      <w:r w:rsidR="00521348">
        <w:rPr>
          <w:sz w:val="28"/>
        </w:rPr>
        <w:t>258</w:t>
      </w:r>
      <w:r w:rsidR="005B21CD">
        <w:rPr>
          <w:sz w:val="28"/>
        </w:rPr>
        <w:t>.</w:t>
      </w:r>
      <w:r w:rsidR="00521348">
        <w:rPr>
          <w:sz w:val="28"/>
        </w:rPr>
        <w:t>553</w:t>
      </w:r>
      <w:r w:rsidR="005B21CD">
        <w:rPr>
          <w:sz w:val="28"/>
        </w:rPr>
        <w:t>.</w:t>
      </w:r>
      <w:r w:rsidR="00521348">
        <w:rPr>
          <w:sz w:val="28"/>
        </w:rPr>
        <w:t>335,45</w:t>
      </w:r>
      <w:r w:rsidR="00626DB3">
        <w:rPr>
          <w:sz w:val="28"/>
        </w:rPr>
        <w:t>DA contre</w:t>
      </w:r>
      <w:r w:rsidR="001A56A0">
        <w:rPr>
          <w:sz w:val="28"/>
        </w:rPr>
        <w:t xml:space="preserve"> 10</w:t>
      </w:r>
      <w:r w:rsidR="006C5972">
        <w:rPr>
          <w:sz w:val="28"/>
        </w:rPr>
        <w:t>.</w:t>
      </w:r>
      <w:r w:rsidR="00521348">
        <w:rPr>
          <w:sz w:val="28"/>
        </w:rPr>
        <w:t>297</w:t>
      </w:r>
      <w:r w:rsidR="006C5972">
        <w:rPr>
          <w:sz w:val="28"/>
        </w:rPr>
        <w:t>.</w:t>
      </w:r>
      <w:r w:rsidR="00521348">
        <w:rPr>
          <w:sz w:val="28"/>
        </w:rPr>
        <w:t>860</w:t>
      </w:r>
      <w:r w:rsidR="005B21CD">
        <w:rPr>
          <w:sz w:val="28"/>
        </w:rPr>
        <w:t>.</w:t>
      </w:r>
      <w:r w:rsidR="00521348">
        <w:rPr>
          <w:sz w:val="28"/>
        </w:rPr>
        <w:t>546</w:t>
      </w:r>
      <w:r w:rsidR="001A56A0">
        <w:rPr>
          <w:sz w:val="28"/>
        </w:rPr>
        <w:t>,43</w:t>
      </w:r>
      <w:r>
        <w:rPr>
          <w:sz w:val="28"/>
        </w:rPr>
        <w:t>DA à fin</w:t>
      </w:r>
      <w:r w:rsidR="00521348">
        <w:rPr>
          <w:sz w:val="28"/>
        </w:rPr>
        <w:t xml:space="preserve"> Juin 2021</w:t>
      </w:r>
      <w:r w:rsidR="00A92E45">
        <w:rPr>
          <w:sz w:val="28"/>
        </w:rPr>
        <w:t>.</w:t>
      </w:r>
    </w:p>
    <w:p w:rsidR="001B1A71" w:rsidRDefault="001B1A71" w:rsidP="002E41DF">
      <w:pPr>
        <w:ind w:right="283"/>
        <w:jc w:val="both"/>
        <w:rPr>
          <w:sz w:val="28"/>
        </w:rPr>
      </w:pPr>
    </w:p>
    <w:p w:rsidR="00257AFB" w:rsidRDefault="00257AFB" w:rsidP="002E41DF">
      <w:pPr>
        <w:ind w:right="283"/>
        <w:jc w:val="both"/>
        <w:rPr>
          <w:sz w:val="28"/>
        </w:rPr>
      </w:pPr>
    </w:p>
    <w:p w:rsidR="00C86D5A" w:rsidRDefault="00521348" w:rsidP="002E41DF">
      <w:pPr>
        <w:ind w:right="283"/>
        <w:jc w:val="both"/>
        <w:rPr>
          <w:sz w:val="28"/>
        </w:rPr>
      </w:pPr>
      <w:r>
        <w:rPr>
          <w:sz w:val="28"/>
        </w:rPr>
        <w:t xml:space="preserve">Avec un recru </w:t>
      </w:r>
      <w:r w:rsidR="002E41DF">
        <w:rPr>
          <w:sz w:val="28"/>
        </w:rPr>
        <w:t xml:space="preserve"> de l’ordre de</w:t>
      </w:r>
      <w:r>
        <w:rPr>
          <w:sz w:val="28"/>
        </w:rPr>
        <w:t xml:space="preserve"> 10,1</w:t>
      </w:r>
      <w:r w:rsidR="001B1A71">
        <w:rPr>
          <w:sz w:val="28"/>
        </w:rPr>
        <w:t>%.</w:t>
      </w:r>
    </w:p>
    <w:p w:rsidR="002E41DF" w:rsidRDefault="002E41DF" w:rsidP="002E41DF">
      <w:pPr>
        <w:ind w:right="283"/>
        <w:jc w:val="both"/>
        <w:rPr>
          <w:sz w:val="28"/>
        </w:rPr>
      </w:pPr>
    </w:p>
    <w:p w:rsidR="002E41DF" w:rsidRDefault="00393FCC" w:rsidP="002E41DF">
      <w:pPr>
        <w:ind w:right="283"/>
        <w:jc w:val="both"/>
        <w:rPr>
          <w:b/>
          <w:color w:val="0000FF"/>
          <w:sz w:val="28"/>
          <w:u w:val="single"/>
        </w:rPr>
      </w:pPr>
      <w:r>
        <w:rPr>
          <w:b/>
          <w:color w:val="0000FF"/>
          <w:sz w:val="28"/>
          <w:u w:val="single"/>
        </w:rPr>
        <w:t>3</w:t>
      </w:r>
      <w:r w:rsidR="002E41DF">
        <w:rPr>
          <w:b/>
          <w:color w:val="0000FF"/>
          <w:sz w:val="28"/>
          <w:u w:val="single"/>
        </w:rPr>
        <w:t>-1-1 L’actif</w:t>
      </w:r>
    </w:p>
    <w:p w:rsidR="002E41DF" w:rsidRDefault="002E41DF" w:rsidP="002E41DF">
      <w:pPr>
        <w:ind w:right="283"/>
        <w:jc w:val="both"/>
        <w:rPr>
          <w:sz w:val="28"/>
        </w:rPr>
      </w:pPr>
    </w:p>
    <w:p w:rsidR="002E41DF" w:rsidRDefault="002E41DF" w:rsidP="002E41DF">
      <w:pPr>
        <w:ind w:right="283"/>
        <w:jc w:val="both"/>
        <w:rPr>
          <w:sz w:val="28"/>
        </w:rPr>
      </w:pPr>
      <w:r>
        <w:rPr>
          <w:sz w:val="28"/>
        </w:rPr>
        <w:t>Il convient de</w:t>
      </w:r>
      <w:r w:rsidR="001B1A71">
        <w:rPr>
          <w:sz w:val="28"/>
        </w:rPr>
        <w:t xml:space="preserve"> noter,</w:t>
      </w:r>
      <w:r>
        <w:rPr>
          <w:sz w:val="28"/>
        </w:rPr>
        <w:t xml:space="preserve"> que le Système Comptable Financier consacré par la loi </w:t>
      </w:r>
      <w:r w:rsidR="001A56A0">
        <w:rPr>
          <w:sz w:val="28"/>
        </w:rPr>
        <w:t>N°07-11 du 25 Novembre 2007 et s</w:t>
      </w:r>
      <w:r>
        <w:rPr>
          <w:sz w:val="28"/>
        </w:rPr>
        <w:t>es textes subséquents pris en la matière ont introduit de nouveaux concepts, s’inspirant des normes internationales IAS/IFRS.</w:t>
      </w:r>
    </w:p>
    <w:p w:rsidR="008403EF" w:rsidRDefault="008403EF" w:rsidP="002E41DF">
      <w:pPr>
        <w:ind w:right="283"/>
        <w:jc w:val="both"/>
        <w:rPr>
          <w:sz w:val="28"/>
        </w:rPr>
      </w:pPr>
    </w:p>
    <w:p w:rsidR="002E41DF" w:rsidRDefault="002E41DF" w:rsidP="002E41DF">
      <w:pPr>
        <w:ind w:right="283"/>
        <w:jc w:val="both"/>
        <w:rPr>
          <w:sz w:val="28"/>
        </w:rPr>
      </w:pPr>
      <w:r>
        <w:rPr>
          <w:sz w:val="28"/>
        </w:rPr>
        <w:t>Ainsi</w:t>
      </w:r>
      <w:r w:rsidR="001B1A71">
        <w:rPr>
          <w:sz w:val="28"/>
        </w:rPr>
        <w:t>, les actifs sont constitués de</w:t>
      </w:r>
      <w:r>
        <w:rPr>
          <w:sz w:val="28"/>
        </w:rPr>
        <w:t xml:space="preserve"> ressources contrôlées par l’entité du fait d’événements passés, destinés à procurer à l’entité des avantages économiques futurs.</w:t>
      </w:r>
    </w:p>
    <w:p w:rsidR="002E695A" w:rsidRDefault="002E695A" w:rsidP="002E41DF">
      <w:pPr>
        <w:ind w:right="283"/>
        <w:jc w:val="both"/>
        <w:rPr>
          <w:sz w:val="28"/>
        </w:rPr>
      </w:pPr>
    </w:p>
    <w:p w:rsidR="002E41DF" w:rsidRDefault="002E41DF" w:rsidP="002E41DF">
      <w:pPr>
        <w:ind w:right="283"/>
        <w:jc w:val="both"/>
        <w:rPr>
          <w:sz w:val="28"/>
        </w:rPr>
      </w:pPr>
    </w:p>
    <w:p w:rsidR="008403EF" w:rsidRDefault="002E41DF" w:rsidP="002E41DF">
      <w:pPr>
        <w:ind w:right="283"/>
        <w:jc w:val="both"/>
        <w:rPr>
          <w:sz w:val="28"/>
        </w:rPr>
      </w:pPr>
      <w:r>
        <w:rPr>
          <w:sz w:val="28"/>
        </w:rPr>
        <w:t>En effet, le contrôle d’un actif correspond au pouvoir d’obtenir les avantages économiques futurs procurés par cet actif</w:t>
      </w:r>
      <w:r w:rsidR="00A77B44">
        <w:rPr>
          <w:sz w:val="28"/>
        </w:rPr>
        <w:t>.</w:t>
      </w:r>
    </w:p>
    <w:p w:rsidR="00AD5C6C" w:rsidRDefault="00AD5C6C" w:rsidP="002E41DF">
      <w:pPr>
        <w:ind w:right="283"/>
        <w:jc w:val="both"/>
        <w:rPr>
          <w:sz w:val="28"/>
        </w:rPr>
      </w:pPr>
    </w:p>
    <w:p w:rsidR="002E41DF" w:rsidRDefault="002E41DF" w:rsidP="002E41DF">
      <w:pPr>
        <w:ind w:right="283"/>
        <w:jc w:val="both"/>
        <w:rPr>
          <w:sz w:val="28"/>
        </w:rPr>
      </w:pPr>
      <w:r>
        <w:rPr>
          <w:sz w:val="28"/>
        </w:rPr>
        <w:t>Il est dans ce cadre  distingué deux types d’actifs :</w:t>
      </w:r>
    </w:p>
    <w:p w:rsidR="002E41DF" w:rsidRDefault="002E41DF" w:rsidP="002E41DF">
      <w:pPr>
        <w:ind w:right="283"/>
        <w:jc w:val="both"/>
        <w:rPr>
          <w:sz w:val="28"/>
        </w:rPr>
      </w:pPr>
    </w:p>
    <w:p w:rsidR="001B1A71" w:rsidRDefault="002E41DF" w:rsidP="002E41DF">
      <w:pPr>
        <w:ind w:right="283"/>
        <w:jc w:val="both"/>
        <w:rPr>
          <w:sz w:val="28"/>
        </w:rPr>
      </w:pPr>
      <w:r>
        <w:rPr>
          <w:sz w:val="28"/>
        </w:rPr>
        <w:t xml:space="preserve">Les actifs non courants, sont ceux destinés à servir de façon durable l’activité de l’entité. </w:t>
      </w:r>
    </w:p>
    <w:p w:rsidR="002E41DF" w:rsidRDefault="002E41DF" w:rsidP="002E41DF">
      <w:pPr>
        <w:ind w:right="283"/>
        <w:jc w:val="both"/>
        <w:rPr>
          <w:sz w:val="28"/>
        </w:rPr>
      </w:pPr>
    </w:p>
    <w:p w:rsidR="002E41DF" w:rsidRDefault="002E41DF" w:rsidP="002E41DF">
      <w:pPr>
        <w:ind w:right="283"/>
        <w:jc w:val="both"/>
        <w:rPr>
          <w:sz w:val="28"/>
        </w:rPr>
      </w:pPr>
      <w:r>
        <w:rPr>
          <w:sz w:val="28"/>
        </w:rPr>
        <w:t>Sont classés dans cette catégorie, les immobilisations incorporelles et corporelles, les immobilisations en cours, les immobilisations financières et l’écart d’acquisition ou good Will.</w:t>
      </w:r>
    </w:p>
    <w:p w:rsidR="002E41DF" w:rsidRDefault="002E41DF" w:rsidP="002E41DF">
      <w:pPr>
        <w:ind w:right="283"/>
        <w:jc w:val="both"/>
        <w:rPr>
          <w:sz w:val="28"/>
        </w:rPr>
      </w:pPr>
    </w:p>
    <w:p w:rsidR="002E41DF" w:rsidRDefault="002E41DF" w:rsidP="002E41DF">
      <w:pPr>
        <w:ind w:right="283"/>
        <w:jc w:val="both"/>
        <w:rPr>
          <w:sz w:val="28"/>
        </w:rPr>
      </w:pPr>
      <w:r>
        <w:rPr>
          <w:sz w:val="28"/>
        </w:rPr>
        <w:t>Les actifs courants sont ceux, qui en raison de leur destination ou de leur nature n’ont pas cette vocation de durabilité.</w:t>
      </w:r>
    </w:p>
    <w:p w:rsidR="00E03237" w:rsidRDefault="00E03237" w:rsidP="002E41DF">
      <w:pPr>
        <w:ind w:right="283"/>
        <w:jc w:val="both"/>
        <w:rPr>
          <w:sz w:val="28"/>
        </w:rPr>
      </w:pPr>
    </w:p>
    <w:p w:rsidR="002E41DF" w:rsidRDefault="002E41DF" w:rsidP="002E41DF">
      <w:pPr>
        <w:ind w:right="283"/>
        <w:jc w:val="both"/>
        <w:rPr>
          <w:sz w:val="28"/>
        </w:rPr>
      </w:pPr>
      <w:r>
        <w:rPr>
          <w:sz w:val="28"/>
        </w:rPr>
        <w:t>Sont classés dans cette catégorie, les stocks et les encours, les créances, les emplois assimilés et les disponibilités et assimilés.</w:t>
      </w:r>
    </w:p>
    <w:p w:rsidR="002E41DF" w:rsidRDefault="002E41DF" w:rsidP="002E41DF">
      <w:pPr>
        <w:ind w:right="283"/>
        <w:jc w:val="both"/>
        <w:rPr>
          <w:sz w:val="28"/>
        </w:rPr>
      </w:pPr>
    </w:p>
    <w:p w:rsidR="002E41DF" w:rsidRDefault="002E41DF" w:rsidP="002E41DF">
      <w:pPr>
        <w:ind w:right="283"/>
        <w:jc w:val="both"/>
        <w:rPr>
          <w:sz w:val="28"/>
        </w:rPr>
      </w:pPr>
      <w:r>
        <w:rPr>
          <w:sz w:val="28"/>
        </w:rPr>
        <w:t xml:space="preserve">Avec la mise en place du Système Comptable Financier, l’entreprise avait retenu et </w:t>
      </w:r>
      <w:r w:rsidR="007F6857">
        <w:rPr>
          <w:sz w:val="28"/>
        </w:rPr>
        <w:t>maintenu,</w:t>
      </w:r>
      <w:r w:rsidR="002E695A">
        <w:rPr>
          <w:sz w:val="28"/>
        </w:rPr>
        <w:t xml:space="preserve">  en référenceaux </w:t>
      </w:r>
      <w:r>
        <w:rPr>
          <w:sz w:val="28"/>
        </w:rPr>
        <w:t xml:space="preserve">dispositions légales, la valeur historique pour la valorisation de l’ensemble de ses immobilisations. </w:t>
      </w:r>
    </w:p>
    <w:p w:rsidR="002E41DF" w:rsidRDefault="002E41DF" w:rsidP="002E41DF">
      <w:pPr>
        <w:ind w:right="283"/>
        <w:jc w:val="both"/>
        <w:rPr>
          <w:sz w:val="28"/>
        </w:rPr>
      </w:pPr>
    </w:p>
    <w:p w:rsidR="002E41DF" w:rsidRDefault="001B1A71" w:rsidP="002E41DF">
      <w:pPr>
        <w:ind w:right="283"/>
        <w:jc w:val="both"/>
        <w:rPr>
          <w:sz w:val="28"/>
        </w:rPr>
      </w:pPr>
      <w:r>
        <w:rPr>
          <w:sz w:val="28"/>
        </w:rPr>
        <w:t xml:space="preserve">Comme elle </w:t>
      </w:r>
      <w:r w:rsidR="004F3D87">
        <w:rPr>
          <w:sz w:val="28"/>
        </w:rPr>
        <w:t xml:space="preserve">a maintenu </w:t>
      </w:r>
      <w:r>
        <w:rPr>
          <w:sz w:val="28"/>
        </w:rPr>
        <w:t xml:space="preserve">aussi </w:t>
      </w:r>
      <w:r w:rsidR="002E41DF">
        <w:rPr>
          <w:sz w:val="28"/>
        </w:rPr>
        <w:t>le système linéaire pour la détermination des annuités d’amortissements.</w:t>
      </w:r>
    </w:p>
    <w:p w:rsidR="002E41DF" w:rsidRDefault="002E41DF" w:rsidP="002E41DF">
      <w:pPr>
        <w:ind w:right="283"/>
        <w:jc w:val="both"/>
        <w:rPr>
          <w:sz w:val="28"/>
        </w:rPr>
      </w:pPr>
    </w:p>
    <w:p w:rsidR="002E41DF" w:rsidRDefault="002E41DF" w:rsidP="002E41DF">
      <w:pPr>
        <w:ind w:right="283"/>
        <w:jc w:val="both"/>
        <w:rPr>
          <w:sz w:val="28"/>
        </w:rPr>
      </w:pPr>
      <w:r>
        <w:rPr>
          <w:sz w:val="28"/>
        </w:rPr>
        <w:t>Le recours à la méthode de l’approche par composants pour les imm</w:t>
      </w:r>
      <w:r w:rsidR="001B1A71">
        <w:rPr>
          <w:sz w:val="28"/>
        </w:rPr>
        <w:t>obilisations, utilisée</w:t>
      </w:r>
      <w:r w:rsidR="007E7B94">
        <w:rPr>
          <w:sz w:val="28"/>
        </w:rPr>
        <w:t>s</w:t>
      </w:r>
      <w:r w:rsidR="001B1A71">
        <w:rPr>
          <w:sz w:val="28"/>
        </w:rPr>
        <w:t xml:space="preserve"> initialement par l’entreprise, </w:t>
      </w:r>
      <w:r>
        <w:rPr>
          <w:sz w:val="28"/>
        </w:rPr>
        <w:t xml:space="preserve"> d’une manière partielle pour la seule rubrique bâtiments,  et </w:t>
      </w:r>
      <w:r w:rsidR="00CD7DE1">
        <w:rPr>
          <w:sz w:val="28"/>
        </w:rPr>
        <w:t>cela,</w:t>
      </w:r>
      <w:r>
        <w:rPr>
          <w:sz w:val="28"/>
        </w:rPr>
        <w:t xml:space="preserve">avant même la mise en place du  nouveau Système Comptable Financier. </w:t>
      </w:r>
    </w:p>
    <w:p w:rsidR="002E41DF" w:rsidRDefault="002E41DF" w:rsidP="002E41DF">
      <w:pPr>
        <w:ind w:right="283"/>
        <w:jc w:val="both"/>
        <w:rPr>
          <w:sz w:val="28"/>
        </w:rPr>
      </w:pPr>
    </w:p>
    <w:p w:rsidR="002E41DF" w:rsidRPr="004E450F" w:rsidRDefault="002E41DF" w:rsidP="002E41DF">
      <w:pPr>
        <w:ind w:right="283"/>
        <w:jc w:val="both"/>
        <w:rPr>
          <w:sz w:val="28"/>
        </w:rPr>
      </w:pPr>
      <w:r w:rsidRPr="004E450F">
        <w:rPr>
          <w:sz w:val="28"/>
        </w:rPr>
        <w:t xml:space="preserve">Cette approche par composants </w:t>
      </w:r>
      <w:r w:rsidR="004F3D87">
        <w:rPr>
          <w:sz w:val="28"/>
        </w:rPr>
        <w:t xml:space="preserve">avait été </w:t>
      </w:r>
      <w:r w:rsidR="004E450F" w:rsidRPr="004E450F">
        <w:rPr>
          <w:sz w:val="28"/>
        </w:rPr>
        <w:t>étendue</w:t>
      </w:r>
      <w:r w:rsidR="007E7B94">
        <w:rPr>
          <w:sz w:val="28"/>
        </w:rPr>
        <w:t xml:space="preserve"> progressivement</w:t>
      </w:r>
      <w:r w:rsidR="001A56A0">
        <w:rPr>
          <w:sz w:val="28"/>
        </w:rPr>
        <w:t xml:space="preserve"> depuis l’exercice 2014, </w:t>
      </w:r>
      <w:r w:rsidR="004E450F" w:rsidRPr="004E450F">
        <w:rPr>
          <w:sz w:val="28"/>
        </w:rPr>
        <w:t xml:space="preserve">aux </w:t>
      </w:r>
      <w:r w:rsidRPr="004E450F">
        <w:rPr>
          <w:sz w:val="28"/>
        </w:rPr>
        <w:t>autres catégories d</w:t>
      </w:r>
      <w:r w:rsidR="006E7D16" w:rsidRPr="004E450F">
        <w:rPr>
          <w:sz w:val="28"/>
        </w:rPr>
        <w:t>’immobilisations</w:t>
      </w:r>
      <w:r w:rsidR="001A56A0">
        <w:rPr>
          <w:sz w:val="28"/>
        </w:rPr>
        <w:t>.</w:t>
      </w:r>
    </w:p>
    <w:p w:rsidR="002E41DF" w:rsidRDefault="002E41DF" w:rsidP="002E41DF">
      <w:pPr>
        <w:ind w:right="283"/>
        <w:jc w:val="both"/>
        <w:rPr>
          <w:sz w:val="28"/>
        </w:rPr>
      </w:pPr>
    </w:p>
    <w:p w:rsidR="002E41DF" w:rsidRDefault="006E7D16" w:rsidP="002E41DF">
      <w:pPr>
        <w:ind w:right="283"/>
        <w:jc w:val="both"/>
        <w:rPr>
          <w:sz w:val="28"/>
        </w:rPr>
      </w:pPr>
      <w:r w:rsidRPr="004E450F">
        <w:rPr>
          <w:sz w:val="28"/>
        </w:rPr>
        <w:t xml:space="preserve"> L</w:t>
      </w:r>
      <w:r w:rsidR="002E41DF" w:rsidRPr="004E450F">
        <w:rPr>
          <w:sz w:val="28"/>
        </w:rPr>
        <w:t xml:space="preserve">es durées d’utilité </w:t>
      </w:r>
      <w:r w:rsidR="00393DF2">
        <w:rPr>
          <w:sz w:val="28"/>
        </w:rPr>
        <w:t xml:space="preserve">ont été </w:t>
      </w:r>
      <w:r w:rsidR="004E450F" w:rsidRPr="004E450F">
        <w:rPr>
          <w:sz w:val="28"/>
        </w:rPr>
        <w:t xml:space="preserve">également </w:t>
      </w:r>
      <w:r w:rsidR="00393DF2">
        <w:rPr>
          <w:sz w:val="28"/>
        </w:rPr>
        <w:t xml:space="preserve">traitéespour </w:t>
      </w:r>
      <w:r w:rsidR="004E450F" w:rsidRPr="004E450F">
        <w:rPr>
          <w:sz w:val="28"/>
        </w:rPr>
        <w:t>la période considérée.</w:t>
      </w:r>
    </w:p>
    <w:p w:rsidR="002E41DF" w:rsidRDefault="002E41DF" w:rsidP="002E41DF">
      <w:pPr>
        <w:ind w:right="283"/>
        <w:jc w:val="both"/>
        <w:rPr>
          <w:sz w:val="28"/>
        </w:rPr>
      </w:pPr>
    </w:p>
    <w:p w:rsidR="0012073A" w:rsidRDefault="002E41DF" w:rsidP="00C86D5A">
      <w:pPr>
        <w:ind w:right="283"/>
        <w:jc w:val="both"/>
        <w:rPr>
          <w:sz w:val="28"/>
        </w:rPr>
      </w:pPr>
      <w:r>
        <w:rPr>
          <w:sz w:val="28"/>
        </w:rPr>
        <w:t>Par ailleurs, il convient de rappeler</w:t>
      </w:r>
      <w:r w:rsidR="004F3D87">
        <w:rPr>
          <w:sz w:val="28"/>
        </w:rPr>
        <w:t xml:space="preserve">, </w:t>
      </w:r>
      <w:r>
        <w:rPr>
          <w:sz w:val="28"/>
        </w:rPr>
        <w:t xml:space="preserve"> qu’en exécution des dispositions contenues dans la loi de finances complémentaire pour 2009, l’entr</w:t>
      </w:r>
      <w:r w:rsidR="004F3D87">
        <w:rPr>
          <w:sz w:val="28"/>
        </w:rPr>
        <w:t>eprise avait par résolution du Conseil d’A</w:t>
      </w:r>
      <w:r>
        <w:rPr>
          <w:sz w:val="28"/>
        </w:rPr>
        <w:t xml:space="preserve">dministration retenu le principe d’inscrire en charge d’exploitation, tout en assurant </w:t>
      </w:r>
      <w:r w:rsidR="004F3D87">
        <w:rPr>
          <w:sz w:val="28"/>
        </w:rPr>
        <w:t xml:space="preserve">le </w:t>
      </w:r>
      <w:r>
        <w:rPr>
          <w:sz w:val="28"/>
        </w:rPr>
        <w:t>suivi sur le plan physique, les immobilisations dont les prix unitaires sont inférieurs ou égaux à 30.000,00 DA</w:t>
      </w:r>
      <w:r w:rsidR="00110F71">
        <w:rPr>
          <w:sz w:val="28"/>
        </w:rPr>
        <w:t>.</w:t>
      </w:r>
      <w:r w:rsidR="005F72A2">
        <w:rPr>
          <w:sz w:val="28"/>
        </w:rPr>
        <w:t xml:space="preserve"> La loi de finances pour l’année 2022 a porté cette limite à 60.000,00 DA.</w:t>
      </w:r>
    </w:p>
    <w:p w:rsidR="00C86D5A" w:rsidRDefault="00C86D5A" w:rsidP="00C86D5A">
      <w:pPr>
        <w:ind w:right="283"/>
        <w:jc w:val="both"/>
        <w:rPr>
          <w:sz w:val="28"/>
        </w:rPr>
      </w:pPr>
    </w:p>
    <w:p w:rsidR="002E41DF" w:rsidRDefault="00393FCC" w:rsidP="002E41DF">
      <w:pPr>
        <w:ind w:right="283"/>
        <w:jc w:val="both"/>
        <w:rPr>
          <w:b/>
          <w:color w:val="0000FF"/>
          <w:sz w:val="28"/>
          <w:u w:val="single"/>
        </w:rPr>
      </w:pPr>
      <w:r>
        <w:rPr>
          <w:b/>
          <w:color w:val="0000FF"/>
          <w:sz w:val="28"/>
          <w:u w:val="single"/>
        </w:rPr>
        <w:t>3</w:t>
      </w:r>
      <w:r w:rsidR="002E41DF">
        <w:rPr>
          <w:b/>
          <w:color w:val="0000FF"/>
          <w:sz w:val="28"/>
          <w:u w:val="single"/>
        </w:rPr>
        <w:t xml:space="preserve">-1-1-1 Les Actifs non courants </w:t>
      </w:r>
    </w:p>
    <w:p w:rsidR="002E41DF" w:rsidRDefault="002E41DF" w:rsidP="002E41DF">
      <w:pPr>
        <w:ind w:left="360" w:right="283"/>
        <w:jc w:val="both"/>
        <w:rPr>
          <w:sz w:val="28"/>
        </w:rPr>
      </w:pPr>
    </w:p>
    <w:p w:rsidR="00393DF2" w:rsidRDefault="002E41DF" w:rsidP="00521348">
      <w:pPr>
        <w:pStyle w:val="Corpsdetexte"/>
        <w:ind w:right="283"/>
      </w:pPr>
      <w:r>
        <w:t xml:space="preserve">La valeur brute des immobilisations cumulées inscrite au bilan arrêtée au </w:t>
      </w:r>
      <w:r w:rsidR="001A56A0">
        <w:t>30 Juin 2021</w:t>
      </w:r>
      <w:r w:rsidR="006A37BD">
        <w:t xml:space="preserve"> s’élève à 15</w:t>
      </w:r>
      <w:r w:rsidR="005B21CD">
        <w:t>.</w:t>
      </w:r>
      <w:r w:rsidR="00521348">
        <w:t>560</w:t>
      </w:r>
      <w:r w:rsidR="005B21CD">
        <w:t>.</w:t>
      </w:r>
      <w:r w:rsidR="00521348">
        <w:t>636</w:t>
      </w:r>
      <w:r w:rsidR="005B21CD">
        <w:t>.</w:t>
      </w:r>
      <w:r w:rsidR="00521348">
        <w:t>008,51</w:t>
      </w:r>
      <w:r w:rsidR="00AC1F0A">
        <w:t xml:space="preserve"> DA</w:t>
      </w:r>
    </w:p>
    <w:p w:rsidR="002E41DF" w:rsidRDefault="002E41DF" w:rsidP="002E41DF">
      <w:pPr>
        <w:ind w:right="283"/>
        <w:rPr>
          <w:sz w:val="28"/>
        </w:rPr>
      </w:pPr>
    </w:p>
    <w:p w:rsidR="00110F71" w:rsidRDefault="002E41DF" w:rsidP="002E41DF">
      <w:pPr>
        <w:ind w:right="283"/>
        <w:rPr>
          <w:sz w:val="28"/>
        </w:rPr>
      </w:pPr>
      <w:r>
        <w:rPr>
          <w:sz w:val="28"/>
        </w:rPr>
        <w:t xml:space="preserve">Il s’agit de biens durables destinés au renouvellement et à l’accroissement de la capacité de production. </w:t>
      </w:r>
    </w:p>
    <w:p w:rsidR="00110F71" w:rsidRDefault="00110F71" w:rsidP="002E41DF">
      <w:pPr>
        <w:ind w:right="283"/>
        <w:rPr>
          <w:sz w:val="28"/>
        </w:rPr>
      </w:pPr>
    </w:p>
    <w:p w:rsidR="002E41DF" w:rsidRDefault="002E41DF" w:rsidP="002E41DF">
      <w:pPr>
        <w:ind w:right="283"/>
        <w:rPr>
          <w:sz w:val="28"/>
        </w:rPr>
      </w:pPr>
      <w:r>
        <w:rPr>
          <w:sz w:val="28"/>
        </w:rPr>
        <w:t>Ce montant se décompose comme suit :</w:t>
      </w:r>
    </w:p>
    <w:p w:rsidR="002E41DF" w:rsidRDefault="002E41DF" w:rsidP="002E41DF">
      <w:pPr>
        <w:ind w:right="283"/>
        <w:rPr>
          <w:sz w:val="28"/>
        </w:rPr>
      </w:pPr>
    </w:p>
    <w:p w:rsidR="002E41DF" w:rsidRDefault="002E41DF" w:rsidP="003C00AA">
      <w:pPr>
        <w:numPr>
          <w:ilvl w:val="0"/>
          <w:numId w:val="10"/>
        </w:numPr>
        <w:tabs>
          <w:tab w:val="clear" w:pos="360"/>
          <w:tab w:val="num" w:pos="585"/>
        </w:tabs>
        <w:ind w:left="585" w:right="283"/>
        <w:rPr>
          <w:sz w:val="28"/>
        </w:rPr>
      </w:pPr>
      <w:r>
        <w:rPr>
          <w:sz w:val="28"/>
        </w:rPr>
        <w:t>Immobilisations  Incorporelles</w:t>
      </w:r>
      <w:r w:rsidR="00E21FA0">
        <w:rPr>
          <w:sz w:val="28"/>
        </w:rPr>
        <w:t xml:space="preserve">                            </w:t>
      </w:r>
      <w:r w:rsidR="001A56A0">
        <w:rPr>
          <w:sz w:val="28"/>
        </w:rPr>
        <w:t>75</w:t>
      </w:r>
      <w:r w:rsidR="00AC1F0A">
        <w:rPr>
          <w:sz w:val="28"/>
        </w:rPr>
        <w:t>.</w:t>
      </w:r>
      <w:r w:rsidR="001A56A0">
        <w:rPr>
          <w:sz w:val="28"/>
        </w:rPr>
        <w:t>678</w:t>
      </w:r>
      <w:r w:rsidR="00AC1F0A">
        <w:rPr>
          <w:sz w:val="28"/>
        </w:rPr>
        <w:t>.</w:t>
      </w:r>
      <w:r w:rsidR="001A56A0">
        <w:rPr>
          <w:sz w:val="28"/>
        </w:rPr>
        <w:t>573</w:t>
      </w:r>
      <w:r w:rsidR="00AC1F0A">
        <w:rPr>
          <w:sz w:val="28"/>
        </w:rPr>
        <w:t>,</w:t>
      </w:r>
      <w:r w:rsidR="001A56A0">
        <w:rPr>
          <w:sz w:val="28"/>
        </w:rPr>
        <w:t>90</w:t>
      </w:r>
      <w:r w:rsidR="00AC1F0A">
        <w:rPr>
          <w:sz w:val="28"/>
        </w:rPr>
        <w:t xml:space="preserve"> DA</w:t>
      </w:r>
    </w:p>
    <w:p w:rsidR="002E41DF" w:rsidRDefault="002E41DF" w:rsidP="003C00AA">
      <w:pPr>
        <w:numPr>
          <w:ilvl w:val="0"/>
          <w:numId w:val="10"/>
        </w:numPr>
        <w:tabs>
          <w:tab w:val="clear" w:pos="360"/>
          <w:tab w:val="num" w:pos="585"/>
        </w:tabs>
        <w:ind w:left="585" w:right="283"/>
        <w:rPr>
          <w:sz w:val="28"/>
        </w:rPr>
      </w:pPr>
      <w:r>
        <w:rPr>
          <w:sz w:val="28"/>
        </w:rPr>
        <w:t>Terrains :</w:t>
      </w:r>
      <w:r>
        <w:rPr>
          <w:sz w:val="28"/>
        </w:rPr>
        <w:tab/>
      </w:r>
      <w:r>
        <w:rPr>
          <w:sz w:val="28"/>
        </w:rPr>
        <w:tab/>
      </w:r>
      <w:r>
        <w:rPr>
          <w:sz w:val="28"/>
        </w:rPr>
        <w:tab/>
      </w:r>
      <w:r w:rsidR="00E21FA0">
        <w:rPr>
          <w:sz w:val="28"/>
        </w:rPr>
        <w:t xml:space="preserve">                                </w:t>
      </w:r>
      <w:r w:rsidR="00A8260A">
        <w:rPr>
          <w:sz w:val="28"/>
        </w:rPr>
        <w:t>544</w:t>
      </w:r>
      <w:r w:rsidR="00AC1F0A">
        <w:rPr>
          <w:sz w:val="28"/>
        </w:rPr>
        <w:t>.</w:t>
      </w:r>
      <w:r w:rsidR="00A8260A">
        <w:rPr>
          <w:sz w:val="28"/>
        </w:rPr>
        <w:t>678</w:t>
      </w:r>
      <w:r w:rsidR="00AC1F0A">
        <w:rPr>
          <w:sz w:val="28"/>
        </w:rPr>
        <w:t>.597,50 DA</w:t>
      </w:r>
    </w:p>
    <w:p w:rsidR="002E41DF" w:rsidRPr="006B2F04" w:rsidRDefault="002E41DF" w:rsidP="003C00AA">
      <w:pPr>
        <w:numPr>
          <w:ilvl w:val="0"/>
          <w:numId w:val="10"/>
        </w:numPr>
        <w:tabs>
          <w:tab w:val="clear" w:pos="360"/>
          <w:tab w:val="num" w:pos="585"/>
        </w:tabs>
        <w:ind w:left="585" w:right="283"/>
        <w:rPr>
          <w:sz w:val="28"/>
        </w:rPr>
      </w:pPr>
      <w:r>
        <w:rPr>
          <w:sz w:val="28"/>
        </w:rPr>
        <w:t xml:space="preserve">Bâtiments </w:t>
      </w:r>
      <w:r w:rsidR="00621B65">
        <w:rPr>
          <w:sz w:val="28"/>
        </w:rPr>
        <w:t>et constructions</w:t>
      </w:r>
      <w:r w:rsidR="00E21FA0">
        <w:rPr>
          <w:sz w:val="28"/>
        </w:rPr>
        <w:t xml:space="preserve">                             </w:t>
      </w:r>
      <w:r w:rsidR="001A56A0">
        <w:rPr>
          <w:sz w:val="28"/>
        </w:rPr>
        <w:t>8</w:t>
      </w:r>
      <w:r w:rsidR="00AC1F0A">
        <w:rPr>
          <w:sz w:val="28"/>
        </w:rPr>
        <w:t>.</w:t>
      </w:r>
      <w:r w:rsidR="00A8260A">
        <w:rPr>
          <w:sz w:val="28"/>
        </w:rPr>
        <w:t>201</w:t>
      </w:r>
      <w:r w:rsidR="00AC1F0A">
        <w:rPr>
          <w:sz w:val="28"/>
        </w:rPr>
        <w:t>.</w:t>
      </w:r>
      <w:r w:rsidR="00A8260A">
        <w:rPr>
          <w:sz w:val="28"/>
        </w:rPr>
        <w:t>279</w:t>
      </w:r>
      <w:r w:rsidR="00AC1F0A">
        <w:rPr>
          <w:sz w:val="28"/>
        </w:rPr>
        <w:t>.</w:t>
      </w:r>
      <w:r w:rsidR="00A8260A">
        <w:rPr>
          <w:sz w:val="28"/>
        </w:rPr>
        <w:t>708</w:t>
      </w:r>
      <w:r w:rsidR="00AC1F0A">
        <w:rPr>
          <w:sz w:val="28"/>
        </w:rPr>
        <w:t>,</w:t>
      </w:r>
      <w:r w:rsidR="00A8260A">
        <w:rPr>
          <w:sz w:val="28"/>
        </w:rPr>
        <w:t>85</w:t>
      </w:r>
      <w:r w:rsidR="00AC1F0A">
        <w:rPr>
          <w:sz w:val="28"/>
        </w:rPr>
        <w:t xml:space="preserve"> DA</w:t>
      </w:r>
    </w:p>
    <w:p w:rsidR="002E41DF" w:rsidRDefault="002E41DF" w:rsidP="003C00AA">
      <w:pPr>
        <w:numPr>
          <w:ilvl w:val="0"/>
          <w:numId w:val="10"/>
        </w:numPr>
        <w:tabs>
          <w:tab w:val="clear" w:pos="360"/>
          <w:tab w:val="num" w:pos="585"/>
        </w:tabs>
        <w:ind w:left="585" w:right="283"/>
        <w:rPr>
          <w:sz w:val="28"/>
        </w:rPr>
      </w:pPr>
      <w:r>
        <w:rPr>
          <w:sz w:val="28"/>
        </w:rPr>
        <w:t>Autres i</w:t>
      </w:r>
      <w:r w:rsidR="00E21FA0">
        <w:rPr>
          <w:sz w:val="28"/>
        </w:rPr>
        <w:t>mmobilisations  corporelles :</w:t>
      </w:r>
      <w:r w:rsidR="00E21FA0">
        <w:rPr>
          <w:sz w:val="28"/>
        </w:rPr>
        <w:tab/>
        <w:t xml:space="preserve">        </w:t>
      </w:r>
      <w:r w:rsidR="001A56A0">
        <w:rPr>
          <w:sz w:val="28"/>
        </w:rPr>
        <w:t>6</w:t>
      </w:r>
      <w:r w:rsidR="00AC1F0A">
        <w:rPr>
          <w:sz w:val="28"/>
        </w:rPr>
        <w:t>.</w:t>
      </w:r>
      <w:r w:rsidR="00A8260A">
        <w:rPr>
          <w:sz w:val="28"/>
        </w:rPr>
        <w:t>392</w:t>
      </w:r>
      <w:r w:rsidR="00AC1F0A">
        <w:rPr>
          <w:sz w:val="28"/>
        </w:rPr>
        <w:t>.</w:t>
      </w:r>
      <w:r w:rsidR="00A8260A">
        <w:rPr>
          <w:sz w:val="28"/>
        </w:rPr>
        <w:t>942</w:t>
      </w:r>
      <w:r w:rsidR="00AC1F0A">
        <w:rPr>
          <w:sz w:val="28"/>
        </w:rPr>
        <w:t>.</w:t>
      </w:r>
      <w:r w:rsidR="00A8260A">
        <w:rPr>
          <w:sz w:val="28"/>
        </w:rPr>
        <w:t>689</w:t>
      </w:r>
      <w:r w:rsidR="00AC1F0A">
        <w:rPr>
          <w:sz w:val="28"/>
        </w:rPr>
        <w:t>,</w:t>
      </w:r>
      <w:r w:rsidR="00A8260A">
        <w:rPr>
          <w:sz w:val="28"/>
        </w:rPr>
        <w:t>11</w:t>
      </w:r>
      <w:r w:rsidR="00AC1F0A">
        <w:rPr>
          <w:sz w:val="28"/>
        </w:rPr>
        <w:t xml:space="preserve"> DA</w:t>
      </w:r>
    </w:p>
    <w:p w:rsidR="00393DF2" w:rsidRDefault="00393DF2" w:rsidP="003C00AA">
      <w:pPr>
        <w:numPr>
          <w:ilvl w:val="0"/>
          <w:numId w:val="10"/>
        </w:numPr>
        <w:tabs>
          <w:tab w:val="clear" w:pos="360"/>
          <w:tab w:val="num" w:pos="585"/>
        </w:tabs>
        <w:ind w:left="585" w:right="283"/>
        <w:rPr>
          <w:sz w:val="28"/>
        </w:rPr>
      </w:pPr>
      <w:r>
        <w:rPr>
          <w:sz w:val="28"/>
        </w:rPr>
        <w:t xml:space="preserve">Immobilisation en concession                  </w:t>
      </w:r>
      <w:r w:rsidR="00E21FA0">
        <w:rPr>
          <w:sz w:val="28"/>
        </w:rPr>
        <w:t xml:space="preserve">              </w:t>
      </w:r>
      <w:r>
        <w:rPr>
          <w:sz w:val="28"/>
        </w:rPr>
        <w:t xml:space="preserve"> </w:t>
      </w:r>
      <w:r w:rsidR="00AC1F0A">
        <w:rPr>
          <w:sz w:val="28"/>
        </w:rPr>
        <w:t>984.059,95 DA</w:t>
      </w:r>
    </w:p>
    <w:p w:rsidR="002E41DF" w:rsidRDefault="002E41DF" w:rsidP="003C00AA">
      <w:pPr>
        <w:numPr>
          <w:ilvl w:val="0"/>
          <w:numId w:val="10"/>
        </w:numPr>
        <w:tabs>
          <w:tab w:val="clear" w:pos="360"/>
          <w:tab w:val="num" w:pos="585"/>
        </w:tabs>
        <w:ind w:left="585" w:right="283"/>
        <w:rPr>
          <w:sz w:val="28"/>
        </w:rPr>
      </w:pPr>
      <w:r>
        <w:rPr>
          <w:sz w:val="28"/>
        </w:rPr>
        <w:t xml:space="preserve">Immobilisations en cours :       </w:t>
      </w:r>
      <w:r w:rsidR="00E21FA0">
        <w:rPr>
          <w:sz w:val="28"/>
        </w:rPr>
        <w:t xml:space="preserve">                         </w:t>
      </w:r>
      <w:r>
        <w:rPr>
          <w:sz w:val="28"/>
        </w:rPr>
        <w:t xml:space="preserve"> </w:t>
      </w:r>
      <w:r w:rsidR="001A56A0">
        <w:rPr>
          <w:sz w:val="28"/>
        </w:rPr>
        <w:t>57</w:t>
      </w:r>
      <w:r w:rsidR="00AC1F0A">
        <w:rPr>
          <w:sz w:val="28"/>
        </w:rPr>
        <w:t>.</w:t>
      </w:r>
      <w:r w:rsidR="00A8260A">
        <w:rPr>
          <w:sz w:val="28"/>
        </w:rPr>
        <w:t>005</w:t>
      </w:r>
      <w:r w:rsidR="00AC1F0A">
        <w:rPr>
          <w:sz w:val="28"/>
        </w:rPr>
        <w:t>.</w:t>
      </w:r>
      <w:r w:rsidR="00A8260A">
        <w:rPr>
          <w:sz w:val="28"/>
        </w:rPr>
        <w:t>484</w:t>
      </w:r>
      <w:r w:rsidR="00AC1F0A">
        <w:rPr>
          <w:sz w:val="28"/>
        </w:rPr>
        <w:t>,</w:t>
      </w:r>
      <w:r w:rsidR="001A56A0">
        <w:rPr>
          <w:sz w:val="28"/>
        </w:rPr>
        <w:t>46</w:t>
      </w:r>
      <w:r w:rsidR="00AC1F0A">
        <w:rPr>
          <w:sz w:val="28"/>
        </w:rPr>
        <w:t xml:space="preserve"> DA</w:t>
      </w:r>
    </w:p>
    <w:p w:rsidR="002E41DF" w:rsidRDefault="002E41DF" w:rsidP="003C00AA">
      <w:pPr>
        <w:numPr>
          <w:ilvl w:val="0"/>
          <w:numId w:val="10"/>
        </w:numPr>
        <w:tabs>
          <w:tab w:val="clear" w:pos="360"/>
          <w:tab w:val="num" w:pos="585"/>
        </w:tabs>
        <w:ind w:left="585" w:right="283"/>
        <w:rPr>
          <w:sz w:val="28"/>
        </w:rPr>
      </w:pPr>
      <w:r w:rsidRPr="00796D45">
        <w:rPr>
          <w:sz w:val="28"/>
          <w:u w:val="single"/>
        </w:rPr>
        <w:t>Immobilisations financières</w:t>
      </w:r>
      <w:r>
        <w:rPr>
          <w:sz w:val="28"/>
        </w:rPr>
        <w:t xml:space="preserve"> :                                        </w:t>
      </w:r>
    </w:p>
    <w:p w:rsidR="002E41DF" w:rsidRDefault="002E41DF" w:rsidP="002E41DF">
      <w:pPr>
        <w:ind w:left="585" w:right="283"/>
        <w:rPr>
          <w:sz w:val="28"/>
        </w:rPr>
      </w:pPr>
      <w:r>
        <w:rPr>
          <w:sz w:val="28"/>
        </w:rPr>
        <w:t xml:space="preserve">  -Autres participations et créances rattachées</w:t>
      </w:r>
      <w:r w:rsidR="00E21FA0">
        <w:rPr>
          <w:sz w:val="28"/>
        </w:rPr>
        <w:t xml:space="preserve">    </w:t>
      </w:r>
      <w:r w:rsidR="00671F99">
        <w:rPr>
          <w:sz w:val="28"/>
        </w:rPr>
        <w:t>22.625.000,00 DA</w:t>
      </w:r>
    </w:p>
    <w:p w:rsidR="002E41DF" w:rsidRDefault="002E41DF" w:rsidP="00856534">
      <w:pPr>
        <w:tabs>
          <w:tab w:val="left" w:pos="7754"/>
        </w:tabs>
        <w:ind w:left="585" w:right="283"/>
        <w:rPr>
          <w:sz w:val="28"/>
        </w:rPr>
      </w:pPr>
      <w:r>
        <w:rPr>
          <w:sz w:val="28"/>
        </w:rPr>
        <w:t xml:space="preserve">   -Autres titres immobilisés                             </w:t>
      </w:r>
      <w:r w:rsidR="00856534">
        <w:rPr>
          <w:sz w:val="28"/>
        </w:rPr>
        <w:tab/>
        <w:t>-</w:t>
      </w:r>
    </w:p>
    <w:p w:rsidR="002E41DF" w:rsidRDefault="002E41DF" w:rsidP="00A8260A">
      <w:pPr>
        <w:ind w:left="585" w:right="283"/>
        <w:rPr>
          <w:sz w:val="28"/>
        </w:rPr>
      </w:pPr>
      <w:r>
        <w:rPr>
          <w:sz w:val="28"/>
        </w:rPr>
        <w:t xml:space="preserve">   - Prêts et autres actifs non courants        </w:t>
      </w:r>
      <w:r w:rsidR="00A8260A">
        <w:rPr>
          <w:sz w:val="28"/>
        </w:rPr>
        <w:t xml:space="preserve"> </w:t>
      </w:r>
      <w:r w:rsidR="00E21FA0">
        <w:rPr>
          <w:sz w:val="28"/>
        </w:rPr>
        <w:t xml:space="preserve">      </w:t>
      </w:r>
      <w:r w:rsidR="00A8260A">
        <w:rPr>
          <w:sz w:val="28"/>
        </w:rPr>
        <w:t>155</w:t>
      </w:r>
      <w:r w:rsidR="00671F99">
        <w:rPr>
          <w:sz w:val="28"/>
        </w:rPr>
        <w:t>.</w:t>
      </w:r>
      <w:r w:rsidR="00A8260A">
        <w:rPr>
          <w:sz w:val="28"/>
        </w:rPr>
        <w:t>589</w:t>
      </w:r>
      <w:r w:rsidR="00671F99">
        <w:rPr>
          <w:sz w:val="28"/>
        </w:rPr>
        <w:t>.</w:t>
      </w:r>
      <w:r w:rsidR="00A8260A">
        <w:rPr>
          <w:sz w:val="28"/>
        </w:rPr>
        <w:t>561</w:t>
      </w:r>
      <w:r w:rsidR="00671F99">
        <w:rPr>
          <w:sz w:val="28"/>
        </w:rPr>
        <w:t>,</w:t>
      </w:r>
      <w:r w:rsidR="006A37BD">
        <w:rPr>
          <w:sz w:val="28"/>
        </w:rPr>
        <w:t>34</w:t>
      </w:r>
      <w:r w:rsidR="00671F99">
        <w:rPr>
          <w:sz w:val="28"/>
        </w:rPr>
        <w:t xml:space="preserve"> DA</w:t>
      </w:r>
    </w:p>
    <w:p w:rsidR="00E03237" w:rsidRDefault="005226F1" w:rsidP="003C00AA">
      <w:pPr>
        <w:pStyle w:val="Paragraphedeliste"/>
        <w:numPr>
          <w:ilvl w:val="0"/>
          <w:numId w:val="19"/>
        </w:numPr>
        <w:ind w:right="283"/>
        <w:rPr>
          <w:sz w:val="28"/>
        </w:rPr>
      </w:pPr>
      <w:r>
        <w:rPr>
          <w:sz w:val="28"/>
        </w:rPr>
        <w:t xml:space="preserve">Impôt différé actif </w:t>
      </w:r>
      <w:r w:rsidR="00E21FA0">
        <w:rPr>
          <w:sz w:val="28"/>
        </w:rPr>
        <w:t xml:space="preserve">                                          </w:t>
      </w:r>
      <w:r w:rsidR="00A8260A">
        <w:rPr>
          <w:sz w:val="28"/>
        </w:rPr>
        <w:t>109</w:t>
      </w:r>
      <w:r w:rsidR="00671F99" w:rsidRPr="00306F50">
        <w:rPr>
          <w:sz w:val="28"/>
        </w:rPr>
        <w:t>.</w:t>
      </w:r>
      <w:r w:rsidR="00A8260A">
        <w:rPr>
          <w:sz w:val="28"/>
        </w:rPr>
        <w:t>852</w:t>
      </w:r>
      <w:r w:rsidR="00671F99" w:rsidRPr="00306F50">
        <w:rPr>
          <w:sz w:val="28"/>
        </w:rPr>
        <w:t>.</w:t>
      </w:r>
      <w:r w:rsidR="00A8260A">
        <w:rPr>
          <w:sz w:val="28"/>
        </w:rPr>
        <w:t>533</w:t>
      </w:r>
      <w:r w:rsidR="00671F99" w:rsidRPr="00306F50">
        <w:rPr>
          <w:sz w:val="28"/>
        </w:rPr>
        <w:t>,</w:t>
      </w:r>
      <w:r w:rsidR="00A8260A">
        <w:rPr>
          <w:sz w:val="28"/>
        </w:rPr>
        <w:t>40</w:t>
      </w:r>
      <w:r w:rsidR="00671F99" w:rsidRPr="00306F50">
        <w:rPr>
          <w:sz w:val="28"/>
        </w:rPr>
        <w:t xml:space="preserve"> DA</w:t>
      </w:r>
    </w:p>
    <w:p w:rsidR="006F31A4" w:rsidRPr="00306F50" w:rsidRDefault="006F31A4" w:rsidP="004F3D87">
      <w:pPr>
        <w:pStyle w:val="Paragraphedeliste"/>
        <w:ind w:left="720" w:right="283"/>
        <w:jc w:val="both"/>
        <w:rPr>
          <w:sz w:val="28"/>
        </w:rPr>
      </w:pPr>
    </w:p>
    <w:p w:rsidR="006F4CD4" w:rsidRDefault="006C5972" w:rsidP="007A6DF1">
      <w:pPr>
        <w:pStyle w:val="Corpsdetexte2"/>
        <w:ind w:right="283"/>
        <w:jc w:val="both"/>
      </w:pPr>
      <w:r>
        <w:t xml:space="preserve">Par </w:t>
      </w:r>
      <w:r w:rsidR="00A8260A">
        <w:t>rapport au premier semestre 2021</w:t>
      </w:r>
      <w:r w:rsidR="005B21CD">
        <w:t>,</w:t>
      </w:r>
      <w:r w:rsidR="002E41DF">
        <w:t xml:space="preserve"> la variation est de </w:t>
      </w:r>
      <w:r w:rsidR="005F21CF">
        <w:t>plus</w:t>
      </w:r>
      <w:r w:rsidR="00A8260A">
        <w:t xml:space="preserve"> 13</w:t>
      </w:r>
      <w:r w:rsidR="00671F99">
        <w:t>.</w:t>
      </w:r>
      <w:r w:rsidR="00A8260A">
        <w:t>815</w:t>
      </w:r>
      <w:r w:rsidR="00671F99">
        <w:t>.</w:t>
      </w:r>
      <w:r w:rsidR="00A8260A">
        <w:t>760</w:t>
      </w:r>
      <w:r w:rsidR="005E303C">
        <w:t>,</w:t>
      </w:r>
      <w:r w:rsidR="00A8260A">
        <w:t>92</w:t>
      </w:r>
      <w:r w:rsidR="00EB1F95">
        <w:t>DA</w:t>
      </w:r>
      <w:r w:rsidR="006F31A4">
        <w:t xml:space="preserve">, </w:t>
      </w:r>
      <w:r w:rsidR="00732211">
        <w:t xml:space="preserve"> marquée</w:t>
      </w:r>
      <w:r w:rsidR="00176459">
        <w:t>principalement par les acquisitions réalisées durant le premier semestre 2022. Elles s’élèvent pour la seule entité EL-</w:t>
      </w:r>
      <w:proofErr w:type="spellStart"/>
      <w:r w:rsidR="00176459">
        <w:t>A</w:t>
      </w:r>
      <w:r w:rsidR="005F72A2">
        <w:t>urassi</w:t>
      </w:r>
      <w:proofErr w:type="spellEnd"/>
      <w:r w:rsidR="005F72A2">
        <w:t xml:space="preserve">  à 9.183.865,65 DA HT.</w:t>
      </w:r>
    </w:p>
    <w:p w:rsidR="006F4CD4" w:rsidRDefault="006F4CD4" w:rsidP="007B7C81">
      <w:pPr>
        <w:pStyle w:val="Corpsdetexte2"/>
        <w:ind w:right="283"/>
      </w:pPr>
    </w:p>
    <w:p w:rsidR="006F4CD4" w:rsidRDefault="006F4CD4" w:rsidP="007B7C81">
      <w:pPr>
        <w:pStyle w:val="Corpsdetexte2"/>
        <w:ind w:right="283"/>
      </w:pPr>
    </w:p>
    <w:p w:rsidR="007A6DF1" w:rsidRDefault="007A6DF1" w:rsidP="007B7C81">
      <w:pPr>
        <w:pStyle w:val="Corpsdetexte2"/>
        <w:ind w:right="283"/>
      </w:pPr>
    </w:p>
    <w:p w:rsidR="007A6DF1" w:rsidRDefault="007A6DF1" w:rsidP="007B7C81">
      <w:pPr>
        <w:pStyle w:val="Corpsdetexte2"/>
        <w:ind w:right="283"/>
      </w:pPr>
    </w:p>
    <w:p w:rsidR="007A6DF1" w:rsidRDefault="007A6DF1" w:rsidP="007B7C81">
      <w:pPr>
        <w:pStyle w:val="Corpsdetexte2"/>
        <w:ind w:right="283"/>
      </w:pPr>
    </w:p>
    <w:p w:rsidR="007A6DF1" w:rsidRDefault="007A6DF1" w:rsidP="007B7C81">
      <w:pPr>
        <w:pStyle w:val="Corpsdetexte2"/>
        <w:ind w:right="283"/>
      </w:pPr>
    </w:p>
    <w:p w:rsidR="007A6DF1" w:rsidRDefault="007A6DF1" w:rsidP="007B7C81">
      <w:pPr>
        <w:pStyle w:val="Corpsdetexte2"/>
        <w:ind w:right="283"/>
      </w:pPr>
    </w:p>
    <w:p w:rsidR="007A6DF1" w:rsidRDefault="007A6DF1" w:rsidP="007B7C81">
      <w:pPr>
        <w:pStyle w:val="Corpsdetexte2"/>
        <w:ind w:right="283"/>
      </w:pPr>
    </w:p>
    <w:p w:rsidR="007A6DF1" w:rsidRDefault="007A6DF1" w:rsidP="007B7C81">
      <w:pPr>
        <w:pStyle w:val="Corpsdetexte2"/>
        <w:ind w:right="283"/>
      </w:pPr>
    </w:p>
    <w:p w:rsidR="007A6DF1" w:rsidRDefault="007A6DF1" w:rsidP="007B7C81">
      <w:pPr>
        <w:pStyle w:val="Corpsdetexte2"/>
        <w:ind w:right="283"/>
      </w:pPr>
    </w:p>
    <w:p w:rsidR="007A6DF1" w:rsidRDefault="007A6DF1" w:rsidP="007B7C81">
      <w:pPr>
        <w:pStyle w:val="Corpsdetexte2"/>
        <w:ind w:right="283"/>
      </w:pPr>
    </w:p>
    <w:p w:rsidR="007A6DF1" w:rsidRDefault="007A6DF1" w:rsidP="007B7C81">
      <w:pPr>
        <w:pStyle w:val="Corpsdetexte2"/>
        <w:ind w:right="283"/>
      </w:pPr>
    </w:p>
    <w:p w:rsidR="007A6DF1" w:rsidRDefault="007A6DF1" w:rsidP="007B7C81">
      <w:pPr>
        <w:pStyle w:val="Corpsdetexte2"/>
        <w:ind w:right="283"/>
      </w:pPr>
    </w:p>
    <w:p w:rsidR="00C86D5A" w:rsidRDefault="00C86D5A" w:rsidP="007B7C81">
      <w:pPr>
        <w:pStyle w:val="Corpsdetexte2"/>
        <w:ind w:right="283"/>
      </w:pPr>
    </w:p>
    <w:p w:rsidR="007A6DF1" w:rsidRDefault="007A6DF1" w:rsidP="007B7C81">
      <w:pPr>
        <w:pStyle w:val="Corpsdetexte2"/>
        <w:ind w:right="283"/>
      </w:pPr>
    </w:p>
    <w:p w:rsidR="006F4CD4" w:rsidRDefault="002E41DF" w:rsidP="006F4CD4">
      <w:pPr>
        <w:pStyle w:val="Corpsdetexte2"/>
        <w:ind w:right="283"/>
      </w:pPr>
      <w:r>
        <w:t xml:space="preserve">Les acquisitions d’équipements </w:t>
      </w:r>
      <w:r w:rsidR="006F4CD4">
        <w:t>se résument pour l’essentiel à :</w:t>
      </w:r>
    </w:p>
    <w:p w:rsidR="006F4CD4" w:rsidRDefault="006F4CD4" w:rsidP="002E41DF">
      <w:pPr>
        <w:pStyle w:val="Corpsdetexte2"/>
        <w:ind w:right="283"/>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2268"/>
        <w:gridCol w:w="1276"/>
      </w:tblGrid>
      <w:tr w:rsidR="002E41DF" w:rsidTr="007B7C81">
        <w:trPr>
          <w:trHeight w:val="317"/>
        </w:trPr>
        <w:tc>
          <w:tcPr>
            <w:tcW w:w="6521" w:type="dxa"/>
            <w:shd w:val="pct20" w:color="000000" w:fill="FFFFFF"/>
          </w:tcPr>
          <w:p w:rsidR="002E41DF" w:rsidRDefault="002E41DF" w:rsidP="00663A0C">
            <w:pPr>
              <w:ind w:right="283"/>
              <w:jc w:val="both"/>
              <w:rPr>
                <w:b/>
                <w:sz w:val="28"/>
                <w:highlight w:val="lightGray"/>
              </w:rPr>
            </w:pPr>
            <w:r>
              <w:rPr>
                <w:b/>
                <w:sz w:val="28"/>
                <w:highlight w:val="lightGray"/>
              </w:rPr>
              <w:t>DESIGNATION</w:t>
            </w:r>
          </w:p>
        </w:tc>
        <w:tc>
          <w:tcPr>
            <w:tcW w:w="2268" w:type="dxa"/>
            <w:shd w:val="pct20" w:color="000000" w:fill="FFFFFF"/>
          </w:tcPr>
          <w:p w:rsidR="002E41DF" w:rsidRDefault="002E41DF" w:rsidP="00663A0C">
            <w:pPr>
              <w:pStyle w:val="Titre5"/>
              <w:ind w:right="283"/>
              <w:rPr>
                <w:highlight w:val="lightGray"/>
              </w:rPr>
            </w:pPr>
            <w:r>
              <w:rPr>
                <w:highlight w:val="lightGray"/>
              </w:rPr>
              <w:t>MONTANTS</w:t>
            </w:r>
          </w:p>
        </w:tc>
        <w:tc>
          <w:tcPr>
            <w:tcW w:w="1276" w:type="dxa"/>
            <w:shd w:val="pct20" w:color="000000" w:fill="FFFFFF"/>
          </w:tcPr>
          <w:p w:rsidR="002E41DF" w:rsidRDefault="00112646" w:rsidP="00663A0C">
            <w:pPr>
              <w:pStyle w:val="Titre5"/>
              <w:ind w:right="283"/>
            </w:pPr>
            <w:r>
              <w:t>%</w:t>
            </w:r>
          </w:p>
        </w:tc>
      </w:tr>
      <w:tr w:rsidR="002E41DF" w:rsidTr="007B7C81">
        <w:trPr>
          <w:trHeight w:val="3494"/>
        </w:trPr>
        <w:tc>
          <w:tcPr>
            <w:tcW w:w="6521" w:type="dxa"/>
          </w:tcPr>
          <w:p w:rsidR="002E41DF" w:rsidRDefault="002E41DF" w:rsidP="00663A0C">
            <w:pPr>
              <w:ind w:right="283"/>
              <w:jc w:val="both"/>
              <w:rPr>
                <w:b/>
                <w:sz w:val="28"/>
                <w:u w:val="single"/>
              </w:rPr>
            </w:pPr>
            <w:r>
              <w:rPr>
                <w:b/>
                <w:sz w:val="28"/>
                <w:u w:val="single"/>
              </w:rPr>
              <w:t xml:space="preserve">IMMOBILISATIONS CORPORELLES  </w:t>
            </w:r>
          </w:p>
          <w:p w:rsidR="00112646" w:rsidRDefault="00A456F8" w:rsidP="00112646">
            <w:pPr>
              <w:ind w:right="283"/>
              <w:jc w:val="both"/>
              <w:rPr>
                <w:sz w:val="28"/>
              </w:rPr>
            </w:pPr>
            <w:r>
              <w:rPr>
                <w:sz w:val="28"/>
              </w:rPr>
              <w:t xml:space="preserve">Aménagement réseau plomberie sanitaire, Aménagement réseau gaz, Installation vapeur, Installation colonne de douche, Installation Vidéo surveillance, Installation réseau informatique  </w:t>
            </w:r>
          </w:p>
          <w:p w:rsidR="00112646" w:rsidRDefault="00112646" w:rsidP="00112646">
            <w:pPr>
              <w:ind w:right="283"/>
              <w:jc w:val="both"/>
              <w:rPr>
                <w:sz w:val="28"/>
              </w:rPr>
            </w:pPr>
          </w:p>
          <w:p w:rsidR="00112646" w:rsidRPr="00112646" w:rsidRDefault="00112646" w:rsidP="00112646">
            <w:pPr>
              <w:ind w:right="283"/>
              <w:jc w:val="both"/>
              <w:rPr>
                <w:b/>
                <w:sz w:val="28"/>
                <w:u w:val="single"/>
              </w:rPr>
            </w:pPr>
            <w:r w:rsidRPr="00112646">
              <w:rPr>
                <w:b/>
                <w:sz w:val="28"/>
                <w:u w:val="single"/>
              </w:rPr>
              <w:t>AUTRESIMMOBILISATIONS INCORPORELLES</w:t>
            </w:r>
          </w:p>
          <w:p w:rsidR="00112646" w:rsidRDefault="006F4CD4" w:rsidP="00112646">
            <w:pPr>
              <w:ind w:right="283"/>
              <w:jc w:val="both"/>
              <w:rPr>
                <w:sz w:val="28"/>
              </w:rPr>
            </w:pPr>
            <w:r>
              <w:rPr>
                <w:sz w:val="28"/>
              </w:rPr>
              <w:t xml:space="preserve">Acquisition de coffres DIGICODE, acquisition de Lave-vaisselle, Plonge de lavage et Table de sortie en Inox, Porte en verre </w:t>
            </w:r>
            <w:r w:rsidR="00A456F8">
              <w:rPr>
                <w:sz w:val="28"/>
              </w:rPr>
              <w:t>opaque</w:t>
            </w:r>
            <w:r>
              <w:rPr>
                <w:sz w:val="28"/>
              </w:rPr>
              <w:t xml:space="preserve"> , Aspirateurs eau et poussières, injecteur extracteur</w:t>
            </w:r>
            <w:r w:rsidR="00A456F8">
              <w:rPr>
                <w:sz w:val="28"/>
              </w:rPr>
              <w:t xml:space="preserve">. </w:t>
            </w:r>
          </w:p>
          <w:p w:rsidR="00112646" w:rsidRDefault="00112646" w:rsidP="007B7C81">
            <w:pPr>
              <w:ind w:right="283"/>
              <w:jc w:val="both"/>
              <w:rPr>
                <w:sz w:val="28"/>
              </w:rPr>
            </w:pPr>
          </w:p>
        </w:tc>
        <w:tc>
          <w:tcPr>
            <w:tcW w:w="2268" w:type="dxa"/>
            <w:vAlign w:val="center"/>
          </w:tcPr>
          <w:p w:rsidR="00112646" w:rsidRDefault="00A456F8" w:rsidP="00A456F8">
            <w:pPr>
              <w:ind w:right="283"/>
              <w:rPr>
                <w:sz w:val="28"/>
              </w:rPr>
            </w:pPr>
            <w:r>
              <w:rPr>
                <w:sz w:val="28"/>
              </w:rPr>
              <w:t>6</w:t>
            </w:r>
            <w:r w:rsidR="00D274A3">
              <w:rPr>
                <w:sz w:val="28"/>
              </w:rPr>
              <w:t>.</w:t>
            </w:r>
            <w:r>
              <w:rPr>
                <w:sz w:val="28"/>
              </w:rPr>
              <w:t>220</w:t>
            </w:r>
            <w:r w:rsidR="00D274A3">
              <w:rPr>
                <w:sz w:val="28"/>
              </w:rPr>
              <w:t>.</w:t>
            </w:r>
            <w:r>
              <w:rPr>
                <w:sz w:val="28"/>
              </w:rPr>
              <w:t>600</w:t>
            </w:r>
            <w:r w:rsidR="00112646">
              <w:rPr>
                <w:sz w:val="28"/>
              </w:rPr>
              <w:t>,</w:t>
            </w:r>
            <w:r>
              <w:rPr>
                <w:sz w:val="28"/>
              </w:rPr>
              <w:t>57</w:t>
            </w:r>
          </w:p>
          <w:p w:rsidR="00112646" w:rsidRDefault="00112646" w:rsidP="00170F0E">
            <w:pPr>
              <w:ind w:right="283"/>
              <w:rPr>
                <w:sz w:val="28"/>
              </w:rPr>
            </w:pPr>
          </w:p>
          <w:p w:rsidR="00112646" w:rsidRDefault="00112646" w:rsidP="00170F0E">
            <w:pPr>
              <w:ind w:right="283"/>
              <w:rPr>
                <w:sz w:val="28"/>
              </w:rPr>
            </w:pPr>
          </w:p>
          <w:p w:rsidR="00112646" w:rsidRDefault="00112646" w:rsidP="00170F0E">
            <w:pPr>
              <w:ind w:right="283"/>
              <w:rPr>
                <w:sz w:val="28"/>
              </w:rPr>
            </w:pPr>
          </w:p>
          <w:p w:rsidR="00112646" w:rsidRDefault="00112646" w:rsidP="00170F0E">
            <w:pPr>
              <w:ind w:right="283"/>
              <w:rPr>
                <w:sz w:val="28"/>
              </w:rPr>
            </w:pPr>
          </w:p>
          <w:p w:rsidR="00112646" w:rsidRDefault="00112646" w:rsidP="00170F0E">
            <w:pPr>
              <w:ind w:right="283"/>
              <w:rPr>
                <w:sz w:val="28"/>
              </w:rPr>
            </w:pPr>
          </w:p>
          <w:p w:rsidR="002E41DF" w:rsidRDefault="00A456F8" w:rsidP="00170F0E">
            <w:pPr>
              <w:ind w:right="283"/>
              <w:rPr>
                <w:sz w:val="28"/>
              </w:rPr>
            </w:pPr>
            <w:r>
              <w:rPr>
                <w:sz w:val="28"/>
              </w:rPr>
              <w:t>2.963.267,08</w:t>
            </w:r>
          </w:p>
        </w:tc>
        <w:tc>
          <w:tcPr>
            <w:tcW w:w="1276" w:type="dxa"/>
            <w:vAlign w:val="center"/>
          </w:tcPr>
          <w:p w:rsidR="00170F0E" w:rsidRPr="00170F0E" w:rsidRDefault="00170F0E" w:rsidP="00D274A3">
            <w:pPr>
              <w:ind w:right="283"/>
              <w:rPr>
                <w:sz w:val="28"/>
              </w:rPr>
            </w:pPr>
          </w:p>
          <w:p w:rsidR="00170F0E" w:rsidRDefault="00E01CE2" w:rsidP="00E01CE2">
            <w:pPr>
              <w:rPr>
                <w:sz w:val="28"/>
              </w:rPr>
            </w:pPr>
            <w:r>
              <w:rPr>
                <w:sz w:val="28"/>
              </w:rPr>
              <w:t>67,7</w:t>
            </w:r>
          </w:p>
          <w:p w:rsidR="00170F0E" w:rsidRPr="00170F0E" w:rsidRDefault="00170F0E" w:rsidP="00170F0E">
            <w:pPr>
              <w:rPr>
                <w:sz w:val="28"/>
              </w:rPr>
            </w:pPr>
          </w:p>
          <w:p w:rsidR="00170F0E" w:rsidRPr="00170F0E" w:rsidRDefault="00170F0E" w:rsidP="00170F0E">
            <w:pPr>
              <w:rPr>
                <w:sz w:val="28"/>
              </w:rPr>
            </w:pPr>
          </w:p>
          <w:p w:rsidR="00170F0E" w:rsidRDefault="00170F0E" w:rsidP="00170F0E">
            <w:pPr>
              <w:rPr>
                <w:sz w:val="28"/>
              </w:rPr>
            </w:pPr>
          </w:p>
          <w:p w:rsidR="00170F0E" w:rsidRDefault="00170F0E" w:rsidP="00170F0E">
            <w:pPr>
              <w:rPr>
                <w:sz w:val="28"/>
              </w:rPr>
            </w:pPr>
          </w:p>
          <w:p w:rsidR="00170F0E" w:rsidRDefault="00170F0E" w:rsidP="00170F0E">
            <w:pPr>
              <w:rPr>
                <w:sz w:val="28"/>
              </w:rPr>
            </w:pPr>
          </w:p>
          <w:p w:rsidR="00170F0E" w:rsidRPr="00170F0E" w:rsidRDefault="00E01CE2" w:rsidP="00E01CE2">
            <w:pPr>
              <w:rPr>
                <w:sz w:val="28"/>
              </w:rPr>
            </w:pPr>
            <w:r>
              <w:rPr>
                <w:sz w:val="28"/>
              </w:rPr>
              <w:t>32,3</w:t>
            </w:r>
          </w:p>
          <w:p w:rsidR="002E41DF" w:rsidRPr="00170F0E" w:rsidRDefault="002E41DF" w:rsidP="00170F0E">
            <w:pPr>
              <w:rPr>
                <w:sz w:val="28"/>
              </w:rPr>
            </w:pPr>
          </w:p>
        </w:tc>
      </w:tr>
      <w:tr w:rsidR="002E41DF" w:rsidTr="007B7C81">
        <w:trPr>
          <w:trHeight w:val="332"/>
        </w:trPr>
        <w:tc>
          <w:tcPr>
            <w:tcW w:w="6521" w:type="dxa"/>
            <w:shd w:val="pct20" w:color="000000" w:fill="FFFFFF"/>
          </w:tcPr>
          <w:p w:rsidR="002E41DF" w:rsidRDefault="002E41DF" w:rsidP="00663A0C">
            <w:pPr>
              <w:pStyle w:val="Titre3"/>
              <w:ind w:right="283"/>
              <w:jc w:val="center"/>
            </w:pPr>
            <w:r>
              <w:t>TOTAL</w:t>
            </w:r>
          </w:p>
        </w:tc>
        <w:tc>
          <w:tcPr>
            <w:tcW w:w="2268" w:type="dxa"/>
            <w:shd w:val="pct20" w:color="000000" w:fill="FFFFFF"/>
            <w:vAlign w:val="center"/>
          </w:tcPr>
          <w:p w:rsidR="002E41DF" w:rsidRDefault="006F4CD4" w:rsidP="006F4CD4">
            <w:pPr>
              <w:ind w:right="283"/>
              <w:jc w:val="right"/>
              <w:rPr>
                <w:b/>
                <w:bCs/>
                <w:sz w:val="28"/>
              </w:rPr>
            </w:pPr>
            <w:r>
              <w:rPr>
                <w:b/>
                <w:bCs/>
                <w:sz w:val="28"/>
              </w:rPr>
              <w:t>9</w:t>
            </w:r>
            <w:r w:rsidR="004532A9">
              <w:rPr>
                <w:b/>
                <w:bCs/>
                <w:sz w:val="28"/>
              </w:rPr>
              <w:t>.</w:t>
            </w:r>
            <w:r>
              <w:rPr>
                <w:b/>
                <w:bCs/>
                <w:sz w:val="28"/>
              </w:rPr>
              <w:t>183</w:t>
            </w:r>
            <w:r w:rsidR="004532A9">
              <w:rPr>
                <w:b/>
                <w:bCs/>
                <w:sz w:val="28"/>
              </w:rPr>
              <w:t>.</w:t>
            </w:r>
            <w:r>
              <w:rPr>
                <w:b/>
                <w:bCs/>
                <w:sz w:val="28"/>
              </w:rPr>
              <w:t>867</w:t>
            </w:r>
            <w:r w:rsidR="004532A9">
              <w:rPr>
                <w:b/>
                <w:bCs/>
                <w:sz w:val="28"/>
              </w:rPr>
              <w:t>,</w:t>
            </w:r>
            <w:r>
              <w:rPr>
                <w:b/>
                <w:bCs/>
                <w:sz w:val="28"/>
              </w:rPr>
              <w:t>65</w:t>
            </w:r>
          </w:p>
        </w:tc>
        <w:tc>
          <w:tcPr>
            <w:tcW w:w="1276" w:type="dxa"/>
            <w:shd w:val="pct20" w:color="000000" w:fill="FFFFFF"/>
            <w:vAlign w:val="center"/>
          </w:tcPr>
          <w:p w:rsidR="002E41DF" w:rsidRDefault="002E41DF" w:rsidP="00663A0C">
            <w:pPr>
              <w:ind w:right="283"/>
              <w:jc w:val="right"/>
              <w:rPr>
                <w:b/>
                <w:bCs/>
                <w:sz w:val="28"/>
              </w:rPr>
            </w:pPr>
            <w:r>
              <w:rPr>
                <w:b/>
                <w:bCs/>
                <w:sz w:val="28"/>
              </w:rPr>
              <w:t>100%</w:t>
            </w:r>
          </w:p>
        </w:tc>
      </w:tr>
    </w:tbl>
    <w:p w:rsidR="00DB7846" w:rsidRDefault="00DB7846" w:rsidP="002E41DF">
      <w:pPr>
        <w:ind w:right="283"/>
        <w:jc w:val="both"/>
        <w:rPr>
          <w:b/>
          <w:color w:val="0000FF"/>
          <w:sz w:val="28"/>
          <w:u w:val="single"/>
        </w:rPr>
      </w:pPr>
    </w:p>
    <w:p w:rsidR="002E41DF" w:rsidRDefault="00393FCC" w:rsidP="002E41DF">
      <w:pPr>
        <w:ind w:right="283"/>
        <w:jc w:val="both"/>
        <w:rPr>
          <w:b/>
          <w:color w:val="0000FF"/>
          <w:sz w:val="28"/>
          <w:u w:val="single"/>
        </w:rPr>
      </w:pPr>
      <w:r>
        <w:rPr>
          <w:b/>
          <w:color w:val="0000FF"/>
          <w:sz w:val="28"/>
          <w:u w:val="single"/>
        </w:rPr>
        <w:t>3</w:t>
      </w:r>
      <w:r w:rsidR="002E41DF">
        <w:rPr>
          <w:b/>
          <w:color w:val="0000FF"/>
          <w:sz w:val="28"/>
          <w:u w:val="single"/>
        </w:rPr>
        <w:t>-1-1-2/ Les stocks</w:t>
      </w:r>
    </w:p>
    <w:p w:rsidR="002E41DF" w:rsidRDefault="002E41DF" w:rsidP="002E41DF">
      <w:pPr>
        <w:ind w:right="283"/>
        <w:jc w:val="both"/>
        <w:rPr>
          <w:b/>
          <w:color w:val="0000FF"/>
          <w:sz w:val="28"/>
          <w:u w:val="single"/>
        </w:rPr>
      </w:pPr>
    </w:p>
    <w:p w:rsidR="002E41DF" w:rsidRDefault="002E41DF" w:rsidP="002E41DF">
      <w:pPr>
        <w:ind w:right="283"/>
        <w:jc w:val="both"/>
        <w:rPr>
          <w:sz w:val="28"/>
        </w:rPr>
      </w:pPr>
      <w:r>
        <w:rPr>
          <w:sz w:val="28"/>
        </w:rPr>
        <w:t xml:space="preserve">Les stocks sont valorisés au cout unitaire moyen pondéré, mode  de valorisation applicable à l’aire du Plan Comptable National. Ce mode </w:t>
      </w:r>
      <w:r w:rsidR="00874F91">
        <w:rPr>
          <w:sz w:val="28"/>
        </w:rPr>
        <w:t xml:space="preserve">de valorisation </w:t>
      </w:r>
      <w:r w:rsidR="00FD2C9E">
        <w:rPr>
          <w:sz w:val="28"/>
        </w:rPr>
        <w:t xml:space="preserve">a été reconduit </w:t>
      </w:r>
      <w:proofErr w:type="spellStart"/>
      <w:r w:rsidR="00FD2C9E">
        <w:rPr>
          <w:sz w:val="28"/>
        </w:rPr>
        <w:t>avec</w:t>
      </w:r>
      <w:r>
        <w:rPr>
          <w:sz w:val="28"/>
        </w:rPr>
        <w:t>la</w:t>
      </w:r>
      <w:proofErr w:type="spellEnd"/>
      <w:r>
        <w:rPr>
          <w:sz w:val="28"/>
        </w:rPr>
        <w:t xml:space="preserve"> mise en place du Système Comptable Financier.</w:t>
      </w:r>
    </w:p>
    <w:p w:rsidR="002E41DF" w:rsidRDefault="002E41DF" w:rsidP="002E41DF">
      <w:pPr>
        <w:ind w:right="283"/>
        <w:jc w:val="both"/>
        <w:rPr>
          <w:sz w:val="28"/>
        </w:rPr>
      </w:pPr>
    </w:p>
    <w:p w:rsidR="002E41DF" w:rsidRDefault="002E41DF" w:rsidP="00176459">
      <w:pPr>
        <w:ind w:right="283"/>
        <w:jc w:val="both"/>
        <w:rPr>
          <w:sz w:val="28"/>
        </w:rPr>
      </w:pPr>
      <w:r>
        <w:rPr>
          <w:sz w:val="28"/>
        </w:rPr>
        <w:t>La valeur brute des stocks inscrite au bilan, s’élève à</w:t>
      </w:r>
      <w:r w:rsidR="00E21FA0">
        <w:rPr>
          <w:sz w:val="28"/>
        </w:rPr>
        <w:t xml:space="preserve">     </w:t>
      </w:r>
      <w:r w:rsidR="00FD2C9E">
        <w:rPr>
          <w:b/>
          <w:bCs/>
          <w:sz w:val="28"/>
          <w:highlight w:val="lightGray"/>
        </w:rPr>
        <w:t>894</w:t>
      </w:r>
      <w:r>
        <w:rPr>
          <w:b/>
          <w:bCs/>
          <w:sz w:val="28"/>
          <w:highlight w:val="lightGray"/>
        </w:rPr>
        <w:t>.</w:t>
      </w:r>
      <w:r w:rsidR="00176459">
        <w:rPr>
          <w:b/>
          <w:bCs/>
          <w:sz w:val="28"/>
          <w:highlight w:val="lightGray"/>
        </w:rPr>
        <w:t>848</w:t>
      </w:r>
      <w:r>
        <w:rPr>
          <w:b/>
          <w:bCs/>
          <w:sz w:val="28"/>
          <w:highlight w:val="lightGray"/>
        </w:rPr>
        <w:t>.</w:t>
      </w:r>
      <w:r w:rsidR="00176459">
        <w:rPr>
          <w:b/>
          <w:bCs/>
          <w:sz w:val="28"/>
          <w:highlight w:val="lightGray"/>
        </w:rPr>
        <w:t>250</w:t>
      </w:r>
      <w:r w:rsidR="00EB1F95">
        <w:rPr>
          <w:b/>
          <w:bCs/>
          <w:sz w:val="28"/>
          <w:highlight w:val="lightGray"/>
        </w:rPr>
        <w:t xml:space="preserve">, </w:t>
      </w:r>
      <w:r w:rsidR="00176459">
        <w:rPr>
          <w:b/>
          <w:bCs/>
          <w:sz w:val="28"/>
          <w:highlight w:val="lightGray"/>
        </w:rPr>
        <w:t>30</w:t>
      </w:r>
      <w:r>
        <w:rPr>
          <w:b/>
          <w:bCs/>
          <w:sz w:val="28"/>
          <w:highlight w:val="lightGray"/>
        </w:rPr>
        <w:t>DA</w:t>
      </w:r>
    </w:p>
    <w:p w:rsidR="009A5507" w:rsidRPr="00E24178" w:rsidRDefault="009A5507" w:rsidP="002E41DF">
      <w:pPr>
        <w:ind w:right="283"/>
        <w:jc w:val="both"/>
        <w:rPr>
          <w:sz w:val="28"/>
        </w:rPr>
      </w:pPr>
    </w:p>
    <w:p w:rsidR="009101B3" w:rsidRDefault="002E41DF" w:rsidP="002E41DF">
      <w:pPr>
        <w:ind w:right="283"/>
        <w:jc w:val="both"/>
        <w:rPr>
          <w:sz w:val="28"/>
        </w:rPr>
      </w:pPr>
      <w:r>
        <w:rPr>
          <w:sz w:val="28"/>
        </w:rPr>
        <w:t>Ce stock est ventilé comme suit :</w:t>
      </w:r>
    </w:p>
    <w:p w:rsidR="002E41DF" w:rsidRDefault="002E41DF" w:rsidP="002E41DF">
      <w:pPr>
        <w:ind w:right="283"/>
        <w:jc w:val="both"/>
        <w:rPr>
          <w:sz w:val="28"/>
        </w:rPr>
      </w:pPr>
    </w:p>
    <w:p w:rsidR="002E41DF" w:rsidRDefault="002E41DF" w:rsidP="006C2EE6">
      <w:pPr>
        <w:tabs>
          <w:tab w:val="left" w:pos="708"/>
          <w:tab w:val="left" w:pos="1416"/>
          <w:tab w:val="left" w:pos="2124"/>
          <w:tab w:val="left" w:pos="2832"/>
          <w:tab w:val="left" w:pos="3540"/>
          <w:tab w:val="left" w:pos="4248"/>
          <w:tab w:val="left" w:pos="7512"/>
        </w:tabs>
        <w:ind w:right="283"/>
        <w:rPr>
          <w:sz w:val="28"/>
        </w:rPr>
      </w:pPr>
      <w:r>
        <w:rPr>
          <w:b/>
          <w:color w:val="0000FF"/>
          <w:sz w:val="28"/>
          <w:u w:val="single"/>
        </w:rPr>
        <w:t>-Marchandise</w:t>
      </w:r>
      <w:r w:rsidR="00C81D8F">
        <w:rPr>
          <w:b/>
          <w:color w:val="0000FF"/>
          <w:sz w:val="28"/>
          <w:u w:val="single"/>
        </w:rPr>
        <w:t>s</w:t>
      </w:r>
      <w:r>
        <w:rPr>
          <w:sz w:val="28"/>
        </w:rPr>
        <w:tab/>
      </w:r>
      <w:r>
        <w:rPr>
          <w:sz w:val="28"/>
        </w:rPr>
        <w:tab/>
      </w:r>
      <w:r>
        <w:rPr>
          <w:sz w:val="28"/>
        </w:rPr>
        <w:tab/>
      </w:r>
      <w:r>
        <w:rPr>
          <w:sz w:val="28"/>
        </w:rPr>
        <w:tab/>
      </w:r>
      <w:r w:rsidR="00E21FA0">
        <w:rPr>
          <w:sz w:val="28"/>
        </w:rPr>
        <w:t xml:space="preserve">                                  </w:t>
      </w:r>
      <w:r w:rsidR="006C2EE6">
        <w:rPr>
          <w:b/>
          <w:color w:val="1F497D" w:themeColor="text2"/>
          <w:sz w:val="28"/>
        </w:rPr>
        <w:t>6</w:t>
      </w:r>
      <w:r w:rsidR="00C81D8F" w:rsidRPr="005B08E9">
        <w:rPr>
          <w:b/>
          <w:color w:val="1F497D" w:themeColor="text2"/>
          <w:sz w:val="28"/>
        </w:rPr>
        <w:t>.</w:t>
      </w:r>
      <w:r w:rsidR="006C2EE6">
        <w:rPr>
          <w:b/>
          <w:color w:val="1F497D" w:themeColor="text2"/>
          <w:sz w:val="28"/>
        </w:rPr>
        <w:t>859</w:t>
      </w:r>
      <w:r w:rsidR="00C81D8F" w:rsidRPr="005B08E9">
        <w:rPr>
          <w:b/>
          <w:color w:val="1F497D" w:themeColor="text2"/>
          <w:sz w:val="28"/>
        </w:rPr>
        <w:t>.</w:t>
      </w:r>
      <w:r w:rsidR="006C2EE6">
        <w:rPr>
          <w:b/>
          <w:color w:val="1F497D" w:themeColor="text2"/>
          <w:sz w:val="28"/>
        </w:rPr>
        <w:t>964</w:t>
      </w:r>
      <w:r w:rsidR="00C81D8F" w:rsidRPr="005B08E9">
        <w:rPr>
          <w:b/>
          <w:color w:val="1F497D" w:themeColor="text2"/>
          <w:sz w:val="28"/>
        </w:rPr>
        <w:t>,</w:t>
      </w:r>
      <w:r w:rsidR="006C2EE6">
        <w:rPr>
          <w:b/>
          <w:color w:val="1F497D" w:themeColor="text2"/>
          <w:sz w:val="28"/>
        </w:rPr>
        <w:t>64</w:t>
      </w:r>
      <w:r w:rsidR="00C81D8F" w:rsidRPr="005B08E9">
        <w:rPr>
          <w:b/>
          <w:color w:val="1F497D" w:themeColor="text2"/>
          <w:sz w:val="28"/>
        </w:rPr>
        <w:t xml:space="preserve"> DA</w:t>
      </w:r>
    </w:p>
    <w:p w:rsidR="002E41DF" w:rsidRDefault="002E41DF" w:rsidP="002E41DF">
      <w:pPr>
        <w:ind w:right="283"/>
        <w:rPr>
          <w:sz w:val="28"/>
        </w:rPr>
      </w:pPr>
    </w:p>
    <w:p w:rsidR="002E41DF" w:rsidRDefault="002E41DF" w:rsidP="003C00AA">
      <w:pPr>
        <w:numPr>
          <w:ilvl w:val="0"/>
          <w:numId w:val="12"/>
        </w:numPr>
        <w:tabs>
          <w:tab w:val="num" w:pos="432"/>
        </w:tabs>
        <w:ind w:right="283"/>
        <w:rPr>
          <w:sz w:val="28"/>
        </w:rPr>
      </w:pPr>
      <w:r>
        <w:rPr>
          <w:sz w:val="28"/>
        </w:rPr>
        <w:t>Boissons alcoolisées</w:t>
      </w:r>
      <w:r>
        <w:rPr>
          <w:sz w:val="28"/>
        </w:rPr>
        <w:tab/>
      </w:r>
      <w:r w:rsidR="00E21FA0">
        <w:rPr>
          <w:sz w:val="28"/>
        </w:rPr>
        <w:t xml:space="preserve">                                                     </w:t>
      </w:r>
      <w:r w:rsidR="006C2EE6">
        <w:rPr>
          <w:sz w:val="28"/>
        </w:rPr>
        <w:t>5</w:t>
      </w:r>
      <w:r>
        <w:rPr>
          <w:sz w:val="28"/>
        </w:rPr>
        <w:t>.</w:t>
      </w:r>
      <w:r w:rsidR="006C2EE6">
        <w:rPr>
          <w:sz w:val="28"/>
        </w:rPr>
        <w:t>510</w:t>
      </w:r>
      <w:r>
        <w:rPr>
          <w:sz w:val="28"/>
        </w:rPr>
        <w:t>.</w:t>
      </w:r>
      <w:r w:rsidR="006C2EE6">
        <w:rPr>
          <w:sz w:val="28"/>
        </w:rPr>
        <w:t>257</w:t>
      </w:r>
      <w:r>
        <w:rPr>
          <w:sz w:val="28"/>
        </w:rPr>
        <w:t>,</w:t>
      </w:r>
      <w:r w:rsidR="006C2EE6">
        <w:rPr>
          <w:sz w:val="28"/>
        </w:rPr>
        <w:t>45</w:t>
      </w:r>
      <w:r>
        <w:rPr>
          <w:sz w:val="28"/>
        </w:rPr>
        <w:t xml:space="preserve"> DA</w:t>
      </w:r>
    </w:p>
    <w:p w:rsidR="005B08E9" w:rsidRDefault="002E41DF" w:rsidP="003C00AA">
      <w:pPr>
        <w:numPr>
          <w:ilvl w:val="0"/>
          <w:numId w:val="12"/>
        </w:numPr>
        <w:tabs>
          <w:tab w:val="num" w:pos="432"/>
        </w:tabs>
        <w:ind w:right="283"/>
        <w:rPr>
          <w:sz w:val="28"/>
        </w:rPr>
      </w:pPr>
      <w:r>
        <w:rPr>
          <w:sz w:val="28"/>
        </w:rPr>
        <w:t xml:space="preserve">Boissons non alcoolisées     </w:t>
      </w:r>
      <w:r w:rsidR="00E21FA0">
        <w:rPr>
          <w:sz w:val="28"/>
        </w:rPr>
        <w:t xml:space="preserve">                                          </w:t>
      </w:r>
      <w:r>
        <w:rPr>
          <w:sz w:val="28"/>
        </w:rPr>
        <w:t xml:space="preserve"> </w:t>
      </w:r>
      <w:r w:rsidR="006C2EE6">
        <w:rPr>
          <w:sz w:val="28"/>
        </w:rPr>
        <w:t>1.178</w:t>
      </w:r>
      <w:r>
        <w:rPr>
          <w:sz w:val="28"/>
        </w:rPr>
        <w:t>.</w:t>
      </w:r>
      <w:r w:rsidR="006C2EE6">
        <w:rPr>
          <w:sz w:val="28"/>
        </w:rPr>
        <w:t>750</w:t>
      </w:r>
      <w:r>
        <w:rPr>
          <w:sz w:val="28"/>
        </w:rPr>
        <w:t>,</w:t>
      </w:r>
      <w:r w:rsidR="006C2EE6">
        <w:rPr>
          <w:sz w:val="28"/>
        </w:rPr>
        <w:t>60</w:t>
      </w:r>
      <w:r>
        <w:rPr>
          <w:sz w:val="28"/>
        </w:rPr>
        <w:t xml:space="preserve"> DA</w:t>
      </w:r>
    </w:p>
    <w:p w:rsidR="00176459" w:rsidRDefault="00176459" w:rsidP="003C00AA">
      <w:pPr>
        <w:numPr>
          <w:ilvl w:val="0"/>
          <w:numId w:val="12"/>
        </w:numPr>
        <w:tabs>
          <w:tab w:val="num" w:pos="432"/>
        </w:tabs>
        <w:ind w:right="283"/>
        <w:rPr>
          <w:sz w:val="28"/>
        </w:rPr>
      </w:pPr>
      <w:r>
        <w:rPr>
          <w:sz w:val="28"/>
        </w:rPr>
        <w:t>Autres produits vendus en l’état</w:t>
      </w:r>
      <w:r w:rsidR="00E21FA0">
        <w:rPr>
          <w:sz w:val="28"/>
        </w:rPr>
        <w:t xml:space="preserve">                                            </w:t>
      </w:r>
      <w:r w:rsidR="006C2EE6">
        <w:rPr>
          <w:sz w:val="28"/>
        </w:rPr>
        <w:t>4.390,30 DA</w:t>
      </w:r>
    </w:p>
    <w:p w:rsidR="006C2EE6" w:rsidRPr="004F3D87" w:rsidRDefault="006C2EE6" w:rsidP="003C00AA">
      <w:pPr>
        <w:numPr>
          <w:ilvl w:val="0"/>
          <w:numId w:val="12"/>
        </w:numPr>
        <w:tabs>
          <w:tab w:val="num" w:pos="432"/>
        </w:tabs>
        <w:ind w:right="283"/>
        <w:rPr>
          <w:sz w:val="28"/>
        </w:rPr>
      </w:pPr>
      <w:r>
        <w:rPr>
          <w:sz w:val="28"/>
        </w:rPr>
        <w:t xml:space="preserve">Ecarts sur stocks de boissons                         </w:t>
      </w:r>
      <w:r w:rsidR="00E21FA0">
        <w:rPr>
          <w:sz w:val="28"/>
        </w:rPr>
        <w:t xml:space="preserve">                  </w:t>
      </w:r>
      <w:r>
        <w:rPr>
          <w:sz w:val="28"/>
        </w:rPr>
        <w:t xml:space="preserve">  166.576,29 DA</w:t>
      </w:r>
    </w:p>
    <w:p w:rsidR="0091330F" w:rsidRDefault="0091330F" w:rsidP="002E41DF">
      <w:pPr>
        <w:ind w:right="283"/>
        <w:rPr>
          <w:sz w:val="28"/>
        </w:rPr>
      </w:pPr>
    </w:p>
    <w:p w:rsidR="002E41DF" w:rsidRPr="00540D8D" w:rsidRDefault="005416BB" w:rsidP="00B376EC">
      <w:pPr>
        <w:tabs>
          <w:tab w:val="left" w:pos="708"/>
          <w:tab w:val="left" w:pos="1416"/>
          <w:tab w:val="left" w:pos="2124"/>
          <w:tab w:val="left" w:pos="2832"/>
          <w:tab w:val="left" w:pos="3540"/>
          <w:tab w:val="left" w:pos="4248"/>
          <w:tab w:val="left" w:pos="4956"/>
          <w:tab w:val="left" w:pos="7168"/>
        </w:tabs>
        <w:ind w:right="283"/>
        <w:rPr>
          <w:b/>
          <w:color w:val="548DD4" w:themeColor="text2" w:themeTint="99"/>
          <w:sz w:val="28"/>
        </w:rPr>
      </w:pPr>
      <w:r w:rsidRPr="005416BB">
        <w:rPr>
          <w:b/>
          <w:color w:val="1F497D" w:themeColor="text2"/>
          <w:sz w:val="28"/>
          <w:u w:val="single"/>
        </w:rPr>
        <w:pict>
          <v:line id="_x0000_s1301" style="position:absolute;z-index:251668480;mso-position-horizontal-relative:page" from="238.05pt,13.95pt" to="380.05pt,13.95pt" o:allowincell="f">
            <v:stroke endarrow="block"/>
            <w10:wrap anchorx="page"/>
          </v:line>
        </w:pict>
      </w:r>
      <w:r w:rsidR="002E41DF" w:rsidRPr="005B08E9">
        <w:rPr>
          <w:b/>
          <w:color w:val="1F497D" w:themeColor="text2"/>
          <w:sz w:val="28"/>
          <w:u w:val="single"/>
        </w:rPr>
        <w:t>Matières et fournitures</w:t>
      </w:r>
      <w:r w:rsidR="002E41DF" w:rsidRPr="00540D8D">
        <w:rPr>
          <w:color w:val="548DD4" w:themeColor="text2" w:themeTint="99"/>
          <w:sz w:val="28"/>
        </w:rPr>
        <w:tab/>
      </w:r>
      <w:r w:rsidR="002E41DF" w:rsidRPr="00540D8D">
        <w:rPr>
          <w:color w:val="548DD4" w:themeColor="text2" w:themeTint="99"/>
          <w:sz w:val="28"/>
        </w:rPr>
        <w:tab/>
      </w:r>
      <w:r w:rsidR="002E41DF" w:rsidRPr="00540D8D">
        <w:rPr>
          <w:color w:val="548DD4" w:themeColor="text2" w:themeTint="99"/>
          <w:sz w:val="28"/>
        </w:rPr>
        <w:tab/>
      </w:r>
      <w:r w:rsidR="002E41DF" w:rsidRPr="00540D8D">
        <w:rPr>
          <w:color w:val="548DD4" w:themeColor="text2" w:themeTint="99"/>
          <w:sz w:val="28"/>
        </w:rPr>
        <w:tab/>
      </w:r>
      <w:r w:rsidR="00C81D8F" w:rsidRPr="00540D8D">
        <w:rPr>
          <w:color w:val="548DD4" w:themeColor="text2" w:themeTint="99"/>
          <w:sz w:val="28"/>
        </w:rPr>
        <w:tab/>
      </w:r>
      <w:r w:rsidR="00B376EC">
        <w:rPr>
          <w:b/>
          <w:color w:val="1F497D" w:themeColor="text2"/>
          <w:sz w:val="28"/>
        </w:rPr>
        <w:t>887</w:t>
      </w:r>
      <w:r w:rsidR="00C81D8F" w:rsidRPr="005B08E9">
        <w:rPr>
          <w:b/>
          <w:color w:val="1F497D" w:themeColor="text2"/>
          <w:sz w:val="28"/>
        </w:rPr>
        <w:t>.</w:t>
      </w:r>
      <w:r w:rsidR="00B376EC">
        <w:rPr>
          <w:b/>
          <w:color w:val="1F497D" w:themeColor="text2"/>
          <w:sz w:val="28"/>
        </w:rPr>
        <w:t>774</w:t>
      </w:r>
      <w:r w:rsidR="00C81D8F" w:rsidRPr="005B08E9">
        <w:rPr>
          <w:b/>
          <w:color w:val="1F497D" w:themeColor="text2"/>
          <w:sz w:val="28"/>
        </w:rPr>
        <w:t>.</w:t>
      </w:r>
      <w:r w:rsidR="00B376EC">
        <w:rPr>
          <w:b/>
          <w:color w:val="1F497D" w:themeColor="text2"/>
          <w:sz w:val="28"/>
        </w:rPr>
        <w:t>971</w:t>
      </w:r>
      <w:r w:rsidR="00C81D8F" w:rsidRPr="005B08E9">
        <w:rPr>
          <w:b/>
          <w:color w:val="1F497D" w:themeColor="text2"/>
          <w:sz w:val="28"/>
        </w:rPr>
        <w:t>,</w:t>
      </w:r>
      <w:r w:rsidR="00B376EC">
        <w:rPr>
          <w:b/>
          <w:color w:val="1F497D" w:themeColor="text2"/>
          <w:sz w:val="28"/>
        </w:rPr>
        <w:t>86</w:t>
      </w:r>
      <w:r w:rsidR="00C81D8F" w:rsidRPr="005B08E9">
        <w:rPr>
          <w:b/>
          <w:color w:val="1F497D" w:themeColor="text2"/>
          <w:sz w:val="28"/>
        </w:rPr>
        <w:t xml:space="preserve"> DA</w:t>
      </w:r>
    </w:p>
    <w:p w:rsidR="002E41DF" w:rsidRPr="00BA0B2E" w:rsidRDefault="002E41DF" w:rsidP="002E41DF">
      <w:pPr>
        <w:rPr>
          <w:sz w:val="28"/>
        </w:rPr>
      </w:pPr>
    </w:p>
    <w:p w:rsidR="002E41DF" w:rsidRPr="00E64761" w:rsidRDefault="002E41DF" w:rsidP="003C00AA">
      <w:pPr>
        <w:numPr>
          <w:ilvl w:val="0"/>
          <w:numId w:val="13"/>
        </w:numPr>
        <w:ind w:left="0" w:firstLine="0"/>
        <w:rPr>
          <w:sz w:val="28"/>
        </w:rPr>
      </w:pPr>
      <w:r w:rsidRPr="00E64761">
        <w:rPr>
          <w:sz w:val="28"/>
        </w:rPr>
        <w:t>Denrées périssa</w:t>
      </w:r>
      <w:r w:rsidR="006C2EE6">
        <w:rPr>
          <w:sz w:val="28"/>
        </w:rPr>
        <w:t>bles</w:t>
      </w:r>
      <w:r w:rsidR="006C2EE6">
        <w:rPr>
          <w:sz w:val="28"/>
        </w:rPr>
        <w:tab/>
      </w:r>
      <w:r w:rsidR="006C2EE6">
        <w:rPr>
          <w:sz w:val="28"/>
        </w:rPr>
        <w:tab/>
      </w:r>
      <w:r w:rsidR="00E21FA0">
        <w:rPr>
          <w:sz w:val="28"/>
        </w:rPr>
        <w:t xml:space="preserve">                                          </w:t>
      </w:r>
      <w:r w:rsidR="00B376EC">
        <w:rPr>
          <w:sz w:val="28"/>
        </w:rPr>
        <w:t>8</w:t>
      </w:r>
      <w:r w:rsidRPr="00E64761">
        <w:rPr>
          <w:sz w:val="28"/>
        </w:rPr>
        <w:t>.</w:t>
      </w:r>
      <w:r w:rsidR="00B376EC">
        <w:rPr>
          <w:sz w:val="28"/>
        </w:rPr>
        <w:t>256</w:t>
      </w:r>
      <w:r w:rsidRPr="00E64761">
        <w:rPr>
          <w:sz w:val="28"/>
        </w:rPr>
        <w:t>.</w:t>
      </w:r>
      <w:r w:rsidR="00B376EC">
        <w:rPr>
          <w:sz w:val="28"/>
        </w:rPr>
        <w:t>117</w:t>
      </w:r>
      <w:r w:rsidRPr="00E64761">
        <w:rPr>
          <w:sz w:val="28"/>
        </w:rPr>
        <w:t>,</w:t>
      </w:r>
      <w:r w:rsidR="00B376EC">
        <w:rPr>
          <w:sz w:val="28"/>
        </w:rPr>
        <w:t>22</w:t>
      </w:r>
      <w:r w:rsidRPr="00E64761">
        <w:rPr>
          <w:sz w:val="28"/>
        </w:rPr>
        <w:t xml:space="preserve">DA      </w:t>
      </w:r>
    </w:p>
    <w:p w:rsidR="002E41DF" w:rsidRDefault="002E41DF" w:rsidP="003C00AA">
      <w:pPr>
        <w:numPr>
          <w:ilvl w:val="0"/>
          <w:numId w:val="13"/>
        </w:numPr>
        <w:ind w:left="0" w:firstLine="0"/>
        <w:rPr>
          <w:sz w:val="28"/>
        </w:rPr>
      </w:pPr>
      <w:r w:rsidRPr="00E64761">
        <w:rPr>
          <w:sz w:val="28"/>
        </w:rPr>
        <w:t>Denrées stockables</w:t>
      </w:r>
      <w:r w:rsidRPr="00E64761">
        <w:rPr>
          <w:sz w:val="28"/>
        </w:rPr>
        <w:tab/>
      </w:r>
      <w:r w:rsidRPr="00E64761">
        <w:rPr>
          <w:sz w:val="28"/>
        </w:rPr>
        <w:tab/>
      </w:r>
      <w:r w:rsidRPr="00E64761">
        <w:rPr>
          <w:sz w:val="28"/>
        </w:rPr>
        <w:tab/>
      </w:r>
      <w:r w:rsidR="00E21FA0">
        <w:rPr>
          <w:sz w:val="28"/>
        </w:rPr>
        <w:t xml:space="preserve">                                          </w:t>
      </w:r>
      <w:r w:rsidR="00B376EC">
        <w:rPr>
          <w:sz w:val="28"/>
        </w:rPr>
        <w:t>4</w:t>
      </w:r>
      <w:r w:rsidRPr="00E64761">
        <w:rPr>
          <w:sz w:val="28"/>
        </w:rPr>
        <w:t>.</w:t>
      </w:r>
      <w:r w:rsidR="00B376EC">
        <w:rPr>
          <w:sz w:val="28"/>
        </w:rPr>
        <w:t>129</w:t>
      </w:r>
      <w:r w:rsidRPr="00E64761">
        <w:rPr>
          <w:sz w:val="28"/>
        </w:rPr>
        <w:t>.</w:t>
      </w:r>
      <w:r w:rsidR="00B376EC">
        <w:rPr>
          <w:sz w:val="28"/>
        </w:rPr>
        <w:t>824</w:t>
      </w:r>
      <w:r w:rsidRPr="00E64761">
        <w:rPr>
          <w:sz w:val="28"/>
        </w:rPr>
        <w:t>,</w:t>
      </w:r>
      <w:r w:rsidR="00B376EC">
        <w:rPr>
          <w:sz w:val="28"/>
        </w:rPr>
        <w:t>26</w:t>
      </w:r>
      <w:r w:rsidRPr="00E64761">
        <w:rPr>
          <w:sz w:val="28"/>
        </w:rPr>
        <w:t>DA</w:t>
      </w:r>
    </w:p>
    <w:p w:rsidR="00B376EC" w:rsidRPr="00E64761" w:rsidRDefault="00B376EC" w:rsidP="003C00AA">
      <w:pPr>
        <w:numPr>
          <w:ilvl w:val="0"/>
          <w:numId w:val="13"/>
        </w:numPr>
        <w:ind w:left="0" w:firstLine="0"/>
        <w:rPr>
          <w:sz w:val="28"/>
        </w:rPr>
      </w:pPr>
      <w:r>
        <w:rPr>
          <w:sz w:val="28"/>
        </w:rPr>
        <w:t xml:space="preserve">Ecarts sur stocks de denrées                       </w:t>
      </w:r>
      <w:r w:rsidR="00E21FA0">
        <w:rPr>
          <w:sz w:val="28"/>
        </w:rPr>
        <w:t xml:space="preserve">                          </w:t>
      </w:r>
      <w:r>
        <w:rPr>
          <w:sz w:val="28"/>
        </w:rPr>
        <w:t xml:space="preserve">   217.092,85 DA</w:t>
      </w:r>
    </w:p>
    <w:p w:rsidR="002E41DF" w:rsidRPr="00E64761" w:rsidRDefault="002E41DF" w:rsidP="003C00AA">
      <w:pPr>
        <w:numPr>
          <w:ilvl w:val="0"/>
          <w:numId w:val="13"/>
        </w:numPr>
        <w:ind w:left="0" w:firstLine="0"/>
        <w:rPr>
          <w:sz w:val="28"/>
        </w:rPr>
      </w:pPr>
      <w:r w:rsidRPr="00E64761">
        <w:rPr>
          <w:sz w:val="28"/>
        </w:rPr>
        <w:t>Droguerie</w:t>
      </w:r>
      <w:r w:rsidRPr="00E64761">
        <w:rPr>
          <w:sz w:val="28"/>
        </w:rPr>
        <w:tab/>
      </w:r>
      <w:r w:rsidRPr="00E64761">
        <w:rPr>
          <w:sz w:val="28"/>
        </w:rPr>
        <w:tab/>
      </w:r>
      <w:r w:rsidRPr="00E64761">
        <w:rPr>
          <w:sz w:val="28"/>
        </w:rPr>
        <w:tab/>
      </w:r>
      <w:r w:rsidR="00E21FA0">
        <w:rPr>
          <w:sz w:val="28"/>
        </w:rPr>
        <w:t xml:space="preserve">                                                    </w:t>
      </w:r>
      <w:r w:rsidR="00FD2C9E">
        <w:rPr>
          <w:sz w:val="28"/>
        </w:rPr>
        <w:t>3</w:t>
      </w:r>
      <w:r w:rsidRPr="00E64761">
        <w:rPr>
          <w:sz w:val="28"/>
        </w:rPr>
        <w:t>.</w:t>
      </w:r>
      <w:r w:rsidR="00B376EC">
        <w:rPr>
          <w:sz w:val="28"/>
        </w:rPr>
        <w:t>884</w:t>
      </w:r>
      <w:r w:rsidRPr="00E64761">
        <w:rPr>
          <w:sz w:val="28"/>
        </w:rPr>
        <w:t>.</w:t>
      </w:r>
      <w:r w:rsidR="00B376EC">
        <w:rPr>
          <w:sz w:val="28"/>
        </w:rPr>
        <w:t>707</w:t>
      </w:r>
      <w:r w:rsidRPr="00E64761">
        <w:rPr>
          <w:sz w:val="28"/>
        </w:rPr>
        <w:t>,</w:t>
      </w:r>
      <w:r w:rsidR="00B376EC">
        <w:rPr>
          <w:sz w:val="28"/>
        </w:rPr>
        <w:t>86</w:t>
      </w:r>
      <w:r w:rsidRPr="00E64761">
        <w:rPr>
          <w:sz w:val="28"/>
        </w:rPr>
        <w:t xml:space="preserve"> DA </w:t>
      </w:r>
    </w:p>
    <w:p w:rsidR="002E41DF" w:rsidRPr="00E64761" w:rsidRDefault="002E41DF" w:rsidP="003C00AA">
      <w:pPr>
        <w:numPr>
          <w:ilvl w:val="0"/>
          <w:numId w:val="13"/>
        </w:numPr>
        <w:ind w:left="0" w:firstLine="0"/>
        <w:rPr>
          <w:sz w:val="28"/>
        </w:rPr>
      </w:pPr>
      <w:r w:rsidRPr="00E64761">
        <w:rPr>
          <w:sz w:val="28"/>
        </w:rPr>
        <w:t>Produits d’accueil</w:t>
      </w:r>
      <w:r w:rsidRPr="00E64761">
        <w:rPr>
          <w:sz w:val="28"/>
        </w:rPr>
        <w:tab/>
      </w:r>
      <w:r w:rsidRPr="00E64761">
        <w:rPr>
          <w:sz w:val="28"/>
        </w:rPr>
        <w:tab/>
      </w:r>
      <w:r w:rsidRPr="00E64761">
        <w:rPr>
          <w:sz w:val="28"/>
        </w:rPr>
        <w:tab/>
      </w:r>
      <w:r w:rsidR="00E21FA0">
        <w:rPr>
          <w:sz w:val="28"/>
        </w:rPr>
        <w:t xml:space="preserve">                                          </w:t>
      </w:r>
      <w:r w:rsidR="00B376EC">
        <w:rPr>
          <w:sz w:val="28"/>
        </w:rPr>
        <w:t>6</w:t>
      </w:r>
      <w:r w:rsidRPr="00E64761">
        <w:rPr>
          <w:sz w:val="28"/>
        </w:rPr>
        <w:t>.</w:t>
      </w:r>
      <w:r w:rsidR="00B376EC">
        <w:rPr>
          <w:sz w:val="28"/>
        </w:rPr>
        <w:t>092</w:t>
      </w:r>
      <w:r w:rsidRPr="00E64761">
        <w:rPr>
          <w:sz w:val="28"/>
        </w:rPr>
        <w:t>.</w:t>
      </w:r>
      <w:r w:rsidR="00B376EC">
        <w:rPr>
          <w:sz w:val="28"/>
        </w:rPr>
        <w:t>167</w:t>
      </w:r>
      <w:r w:rsidRPr="00E64761">
        <w:rPr>
          <w:sz w:val="28"/>
        </w:rPr>
        <w:t>,</w:t>
      </w:r>
      <w:r w:rsidR="00B376EC">
        <w:rPr>
          <w:sz w:val="28"/>
        </w:rPr>
        <w:t>26</w:t>
      </w:r>
      <w:r w:rsidRPr="00E64761">
        <w:rPr>
          <w:sz w:val="28"/>
        </w:rPr>
        <w:t xml:space="preserve"> DA</w:t>
      </w:r>
    </w:p>
    <w:p w:rsidR="002E41DF" w:rsidRPr="00E64761" w:rsidRDefault="002E41DF" w:rsidP="003C00AA">
      <w:pPr>
        <w:numPr>
          <w:ilvl w:val="0"/>
          <w:numId w:val="13"/>
        </w:numPr>
        <w:ind w:left="0" w:firstLine="0"/>
        <w:rPr>
          <w:sz w:val="28"/>
        </w:rPr>
      </w:pPr>
      <w:r w:rsidRPr="00E64761">
        <w:rPr>
          <w:sz w:val="28"/>
        </w:rPr>
        <w:t>Pièces de rechange automo</w:t>
      </w:r>
      <w:r w:rsidR="006C2EE6">
        <w:rPr>
          <w:sz w:val="28"/>
        </w:rPr>
        <w:t xml:space="preserve">bile                   </w:t>
      </w:r>
      <w:r w:rsidR="00E21FA0">
        <w:rPr>
          <w:sz w:val="28"/>
        </w:rPr>
        <w:t xml:space="preserve">                             </w:t>
      </w:r>
      <w:r w:rsidR="006C2EE6">
        <w:rPr>
          <w:sz w:val="28"/>
        </w:rPr>
        <w:t xml:space="preserve">  </w:t>
      </w:r>
      <w:r w:rsidR="005B21CD">
        <w:rPr>
          <w:sz w:val="28"/>
        </w:rPr>
        <w:t>17</w:t>
      </w:r>
      <w:r w:rsidRPr="00E64761">
        <w:rPr>
          <w:sz w:val="28"/>
        </w:rPr>
        <w:t>.</w:t>
      </w:r>
      <w:r w:rsidR="005B21CD">
        <w:rPr>
          <w:sz w:val="28"/>
        </w:rPr>
        <w:t>000</w:t>
      </w:r>
      <w:r w:rsidRPr="00E64761">
        <w:rPr>
          <w:sz w:val="28"/>
        </w:rPr>
        <w:t>,</w:t>
      </w:r>
      <w:r w:rsidR="005B21CD">
        <w:rPr>
          <w:sz w:val="28"/>
        </w:rPr>
        <w:t>00</w:t>
      </w:r>
      <w:r w:rsidRPr="00E64761">
        <w:rPr>
          <w:sz w:val="28"/>
        </w:rPr>
        <w:t xml:space="preserve"> DA</w:t>
      </w:r>
    </w:p>
    <w:p w:rsidR="002E41DF" w:rsidRPr="00E64761" w:rsidRDefault="002E41DF" w:rsidP="003C00AA">
      <w:pPr>
        <w:numPr>
          <w:ilvl w:val="0"/>
          <w:numId w:val="13"/>
        </w:numPr>
        <w:ind w:left="0" w:firstLine="0"/>
        <w:rPr>
          <w:sz w:val="28"/>
        </w:rPr>
      </w:pPr>
      <w:r w:rsidRPr="00E64761">
        <w:rPr>
          <w:sz w:val="28"/>
        </w:rPr>
        <w:t xml:space="preserve">Matériel électrique            </w:t>
      </w:r>
      <w:r w:rsidR="00E21FA0">
        <w:rPr>
          <w:sz w:val="28"/>
        </w:rPr>
        <w:t xml:space="preserve">                                                  </w:t>
      </w:r>
      <w:r w:rsidR="00DF2845">
        <w:rPr>
          <w:sz w:val="28"/>
        </w:rPr>
        <w:t>20</w:t>
      </w:r>
      <w:r w:rsidRPr="00E64761">
        <w:rPr>
          <w:sz w:val="28"/>
        </w:rPr>
        <w:t>.</w:t>
      </w:r>
      <w:r w:rsidR="00B376EC">
        <w:rPr>
          <w:sz w:val="28"/>
        </w:rPr>
        <w:t>506</w:t>
      </w:r>
      <w:r w:rsidRPr="00E64761">
        <w:rPr>
          <w:sz w:val="28"/>
        </w:rPr>
        <w:t>.</w:t>
      </w:r>
      <w:r w:rsidR="00B376EC">
        <w:rPr>
          <w:sz w:val="28"/>
        </w:rPr>
        <w:t>693</w:t>
      </w:r>
      <w:r w:rsidRPr="00E64761">
        <w:rPr>
          <w:sz w:val="28"/>
        </w:rPr>
        <w:t>,</w:t>
      </w:r>
      <w:r w:rsidR="00B376EC">
        <w:rPr>
          <w:sz w:val="28"/>
        </w:rPr>
        <w:t>20</w:t>
      </w:r>
      <w:r w:rsidRPr="00E64761">
        <w:rPr>
          <w:sz w:val="28"/>
        </w:rPr>
        <w:t xml:space="preserve"> DA</w:t>
      </w:r>
    </w:p>
    <w:p w:rsidR="002E41DF" w:rsidRPr="00E64761" w:rsidRDefault="002E41DF" w:rsidP="003C00AA">
      <w:pPr>
        <w:numPr>
          <w:ilvl w:val="0"/>
          <w:numId w:val="13"/>
        </w:numPr>
        <w:ind w:left="0" w:firstLine="0"/>
        <w:rPr>
          <w:sz w:val="28"/>
        </w:rPr>
      </w:pPr>
      <w:r w:rsidRPr="00E64761">
        <w:rPr>
          <w:sz w:val="28"/>
        </w:rPr>
        <w:t xml:space="preserve">Matériel de plomberie   </w:t>
      </w:r>
      <w:r w:rsidR="00E21FA0">
        <w:rPr>
          <w:sz w:val="28"/>
        </w:rPr>
        <w:t xml:space="preserve">                                                     </w:t>
      </w:r>
      <w:r w:rsidRPr="00E64761">
        <w:rPr>
          <w:sz w:val="28"/>
        </w:rPr>
        <w:t xml:space="preserve">  </w:t>
      </w:r>
      <w:r w:rsidR="00540D8D">
        <w:rPr>
          <w:sz w:val="28"/>
        </w:rPr>
        <w:t>5</w:t>
      </w:r>
      <w:r w:rsidRPr="00E64761">
        <w:rPr>
          <w:sz w:val="28"/>
        </w:rPr>
        <w:t>.</w:t>
      </w:r>
      <w:r w:rsidR="00B376EC">
        <w:rPr>
          <w:sz w:val="28"/>
        </w:rPr>
        <w:t>889</w:t>
      </w:r>
      <w:r w:rsidRPr="00E64761">
        <w:rPr>
          <w:sz w:val="28"/>
        </w:rPr>
        <w:t>.</w:t>
      </w:r>
      <w:r w:rsidR="00B376EC">
        <w:rPr>
          <w:sz w:val="28"/>
        </w:rPr>
        <w:t>837</w:t>
      </w:r>
      <w:r w:rsidRPr="00E64761">
        <w:rPr>
          <w:sz w:val="28"/>
        </w:rPr>
        <w:t>,</w:t>
      </w:r>
      <w:r w:rsidR="00B376EC">
        <w:rPr>
          <w:sz w:val="28"/>
        </w:rPr>
        <w:t>64</w:t>
      </w:r>
      <w:r w:rsidRPr="00E64761">
        <w:rPr>
          <w:sz w:val="28"/>
        </w:rPr>
        <w:t xml:space="preserve"> DA</w:t>
      </w:r>
    </w:p>
    <w:p w:rsidR="002E41DF" w:rsidRPr="00713D49" w:rsidRDefault="002E41DF" w:rsidP="003C00AA">
      <w:pPr>
        <w:numPr>
          <w:ilvl w:val="0"/>
          <w:numId w:val="13"/>
        </w:numPr>
        <w:ind w:left="0" w:firstLine="0"/>
        <w:rPr>
          <w:sz w:val="28"/>
        </w:rPr>
      </w:pPr>
      <w:r w:rsidRPr="00E64761">
        <w:rPr>
          <w:sz w:val="28"/>
        </w:rPr>
        <w:t xml:space="preserve">Pièces de rechange électroniques   </w:t>
      </w:r>
      <w:r w:rsidR="00E21FA0">
        <w:rPr>
          <w:sz w:val="28"/>
        </w:rPr>
        <w:t xml:space="preserve">                                    </w:t>
      </w:r>
      <w:r w:rsidRPr="00E64761">
        <w:rPr>
          <w:sz w:val="28"/>
        </w:rPr>
        <w:t xml:space="preserve">  </w:t>
      </w:r>
      <w:r w:rsidR="00DF2845">
        <w:rPr>
          <w:sz w:val="28"/>
        </w:rPr>
        <w:t>2</w:t>
      </w:r>
      <w:r>
        <w:rPr>
          <w:sz w:val="28"/>
        </w:rPr>
        <w:t>.</w:t>
      </w:r>
      <w:r w:rsidR="00B376EC">
        <w:rPr>
          <w:sz w:val="28"/>
        </w:rPr>
        <w:t>079</w:t>
      </w:r>
      <w:r w:rsidRPr="00E64761">
        <w:rPr>
          <w:sz w:val="28"/>
        </w:rPr>
        <w:t>.</w:t>
      </w:r>
      <w:r w:rsidR="00B376EC">
        <w:rPr>
          <w:sz w:val="28"/>
        </w:rPr>
        <w:t>098</w:t>
      </w:r>
      <w:r w:rsidRPr="00E64761">
        <w:rPr>
          <w:sz w:val="28"/>
        </w:rPr>
        <w:t>,</w:t>
      </w:r>
      <w:r w:rsidR="00FD2C9E">
        <w:rPr>
          <w:sz w:val="28"/>
        </w:rPr>
        <w:t>7</w:t>
      </w:r>
      <w:r w:rsidR="00B376EC">
        <w:rPr>
          <w:sz w:val="28"/>
        </w:rPr>
        <w:t>2</w:t>
      </w:r>
      <w:r w:rsidRPr="00E64761">
        <w:rPr>
          <w:sz w:val="28"/>
        </w:rPr>
        <w:t xml:space="preserve"> D</w:t>
      </w:r>
      <w:r w:rsidR="005477E4">
        <w:rPr>
          <w:sz w:val="28"/>
        </w:rPr>
        <w:t>A</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39"/>
      </w:tblGrid>
      <w:tr w:rsidR="002E41DF" w:rsidRPr="00E64761" w:rsidTr="00F209D7">
        <w:trPr>
          <w:trHeight w:val="4620"/>
        </w:trPr>
        <w:tc>
          <w:tcPr>
            <w:tcW w:w="9339" w:type="dxa"/>
            <w:tcBorders>
              <w:top w:val="nil"/>
              <w:left w:val="nil"/>
              <w:bottom w:val="nil"/>
              <w:right w:val="nil"/>
            </w:tcBorders>
          </w:tcPr>
          <w:p w:rsidR="005A054F" w:rsidRPr="00F209D7" w:rsidRDefault="005A054F" w:rsidP="003C00AA">
            <w:pPr>
              <w:pStyle w:val="Paragraphedeliste"/>
              <w:numPr>
                <w:ilvl w:val="0"/>
                <w:numId w:val="8"/>
              </w:numPr>
              <w:ind w:left="-250" w:firstLine="250"/>
              <w:rPr>
                <w:sz w:val="28"/>
              </w:rPr>
            </w:pPr>
            <w:r w:rsidRPr="00F209D7">
              <w:rPr>
                <w:sz w:val="28"/>
              </w:rPr>
              <w:lastRenderedPageBreak/>
              <w:t>Pièces  de rechange  cha</w:t>
            </w:r>
            <w:r w:rsidR="00EB1F95">
              <w:rPr>
                <w:sz w:val="28"/>
              </w:rPr>
              <w:t xml:space="preserve">uffage/climatisation  </w:t>
            </w:r>
            <w:r w:rsidR="00E21FA0">
              <w:rPr>
                <w:sz w:val="28"/>
              </w:rPr>
              <w:t xml:space="preserve">               </w:t>
            </w:r>
            <w:r w:rsidR="00EB1F95">
              <w:rPr>
                <w:sz w:val="28"/>
              </w:rPr>
              <w:t xml:space="preserve"> </w:t>
            </w:r>
            <w:r w:rsidR="00144108">
              <w:rPr>
                <w:sz w:val="28"/>
              </w:rPr>
              <w:t>28</w:t>
            </w:r>
            <w:r w:rsidRPr="00F209D7">
              <w:rPr>
                <w:sz w:val="28"/>
              </w:rPr>
              <w:t>.</w:t>
            </w:r>
            <w:r w:rsidR="00144108">
              <w:rPr>
                <w:sz w:val="28"/>
              </w:rPr>
              <w:t>952</w:t>
            </w:r>
            <w:r w:rsidRPr="00F209D7">
              <w:rPr>
                <w:sz w:val="28"/>
              </w:rPr>
              <w:t>.</w:t>
            </w:r>
            <w:r w:rsidR="00144108">
              <w:rPr>
                <w:sz w:val="28"/>
              </w:rPr>
              <w:t>523</w:t>
            </w:r>
            <w:r w:rsidRPr="00F209D7">
              <w:rPr>
                <w:sz w:val="28"/>
              </w:rPr>
              <w:t>,</w:t>
            </w:r>
            <w:r w:rsidR="00144108">
              <w:rPr>
                <w:sz w:val="28"/>
              </w:rPr>
              <w:t xml:space="preserve">7 </w:t>
            </w:r>
            <w:r w:rsidR="00FD2C9E">
              <w:rPr>
                <w:sz w:val="28"/>
              </w:rPr>
              <w:t xml:space="preserve">6 </w:t>
            </w:r>
            <w:r w:rsidRPr="00F209D7">
              <w:rPr>
                <w:sz w:val="28"/>
              </w:rPr>
              <w:t xml:space="preserve">DA         </w:t>
            </w:r>
          </w:p>
          <w:p w:rsidR="002E41DF" w:rsidRDefault="005A054F" w:rsidP="003C00AA">
            <w:pPr>
              <w:pStyle w:val="Paragraphedeliste"/>
              <w:numPr>
                <w:ilvl w:val="0"/>
                <w:numId w:val="8"/>
              </w:numPr>
              <w:tabs>
                <w:tab w:val="left" w:pos="708"/>
                <w:tab w:val="left" w:pos="1416"/>
                <w:tab w:val="left" w:pos="2124"/>
                <w:tab w:val="left" w:pos="3282"/>
              </w:tabs>
              <w:ind w:left="0" w:firstLine="0"/>
              <w:rPr>
                <w:sz w:val="28"/>
              </w:rPr>
            </w:pPr>
            <w:r w:rsidRPr="00E64761">
              <w:rPr>
                <w:sz w:val="28"/>
              </w:rPr>
              <w:t>«         «  froid/électroménager/</w:t>
            </w:r>
            <w:r w:rsidR="00EB1F95">
              <w:rPr>
                <w:sz w:val="28"/>
              </w:rPr>
              <w:t xml:space="preserve">buanderie            </w:t>
            </w:r>
            <w:r w:rsidR="00E21FA0">
              <w:rPr>
                <w:sz w:val="28"/>
              </w:rPr>
              <w:t xml:space="preserve">         </w:t>
            </w:r>
            <w:r w:rsidR="00EB1F95">
              <w:rPr>
                <w:sz w:val="28"/>
              </w:rPr>
              <w:t xml:space="preserve">   </w:t>
            </w:r>
            <w:r w:rsidR="00144108">
              <w:rPr>
                <w:sz w:val="28"/>
              </w:rPr>
              <w:t>96</w:t>
            </w:r>
            <w:r w:rsidRPr="00E64761">
              <w:rPr>
                <w:sz w:val="28"/>
              </w:rPr>
              <w:t>.</w:t>
            </w:r>
            <w:r w:rsidR="00144108">
              <w:rPr>
                <w:sz w:val="28"/>
              </w:rPr>
              <w:t>010</w:t>
            </w:r>
            <w:r w:rsidRPr="00E64761">
              <w:rPr>
                <w:sz w:val="28"/>
              </w:rPr>
              <w:t>.</w:t>
            </w:r>
            <w:r w:rsidR="00144108">
              <w:rPr>
                <w:sz w:val="28"/>
              </w:rPr>
              <w:t>055</w:t>
            </w:r>
            <w:r w:rsidRPr="00E64761">
              <w:rPr>
                <w:sz w:val="28"/>
              </w:rPr>
              <w:t>,</w:t>
            </w:r>
            <w:r w:rsidR="00144108">
              <w:rPr>
                <w:sz w:val="28"/>
              </w:rPr>
              <w:t>32</w:t>
            </w:r>
            <w:r>
              <w:rPr>
                <w:sz w:val="28"/>
              </w:rPr>
              <w:t>DA</w:t>
            </w:r>
          </w:p>
          <w:p w:rsidR="005A054F" w:rsidRDefault="00176459" w:rsidP="003C00AA">
            <w:pPr>
              <w:pStyle w:val="Paragraphedeliste"/>
              <w:numPr>
                <w:ilvl w:val="0"/>
                <w:numId w:val="8"/>
              </w:numPr>
              <w:tabs>
                <w:tab w:val="left" w:pos="708"/>
                <w:tab w:val="left" w:pos="1416"/>
                <w:tab w:val="left" w:pos="2124"/>
                <w:tab w:val="left" w:pos="3282"/>
              </w:tabs>
              <w:ind w:left="0" w:firstLine="0"/>
              <w:rPr>
                <w:sz w:val="28"/>
              </w:rPr>
            </w:pPr>
            <w:r>
              <w:rPr>
                <w:sz w:val="28"/>
              </w:rPr>
              <w:t>« A</w:t>
            </w:r>
            <w:r w:rsidR="005A054F" w:rsidRPr="00E64761">
              <w:rPr>
                <w:sz w:val="28"/>
              </w:rPr>
              <w:t>spirateurs</w:t>
            </w:r>
            <w:r w:rsidR="00E21FA0">
              <w:rPr>
                <w:sz w:val="28"/>
              </w:rPr>
              <w:t xml:space="preserve">                                                                      </w:t>
            </w:r>
            <w:r w:rsidR="005A054F" w:rsidRPr="00E64761">
              <w:rPr>
                <w:sz w:val="28"/>
              </w:rPr>
              <w:t>1.</w:t>
            </w:r>
            <w:r w:rsidR="00144108">
              <w:rPr>
                <w:sz w:val="28"/>
              </w:rPr>
              <w:t>140</w:t>
            </w:r>
            <w:r w:rsidR="005A054F" w:rsidRPr="00E64761">
              <w:rPr>
                <w:sz w:val="28"/>
              </w:rPr>
              <w:t>.</w:t>
            </w:r>
            <w:r w:rsidR="00144108">
              <w:rPr>
                <w:sz w:val="28"/>
              </w:rPr>
              <w:t>869</w:t>
            </w:r>
            <w:r w:rsidR="005A054F" w:rsidRPr="00E64761">
              <w:rPr>
                <w:sz w:val="28"/>
              </w:rPr>
              <w:t>,</w:t>
            </w:r>
            <w:r w:rsidR="00144108">
              <w:rPr>
                <w:sz w:val="28"/>
              </w:rPr>
              <w:t>43</w:t>
            </w:r>
            <w:r w:rsidR="005A054F" w:rsidRPr="00E64761">
              <w:rPr>
                <w:sz w:val="28"/>
              </w:rPr>
              <w:t xml:space="preserve"> DA  </w:t>
            </w:r>
          </w:p>
          <w:p w:rsidR="005A054F" w:rsidRDefault="00176459" w:rsidP="003C00AA">
            <w:pPr>
              <w:pStyle w:val="Paragraphedeliste"/>
              <w:numPr>
                <w:ilvl w:val="0"/>
                <w:numId w:val="8"/>
              </w:numPr>
              <w:tabs>
                <w:tab w:val="left" w:pos="708"/>
                <w:tab w:val="left" w:pos="1416"/>
                <w:tab w:val="left" w:pos="2124"/>
                <w:tab w:val="left" w:pos="3282"/>
              </w:tabs>
              <w:ind w:left="0" w:firstLine="0"/>
              <w:rPr>
                <w:sz w:val="28"/>
              </w:rPr>
            </w:pPr>
            <w:r>
              <w:rPr>
                <w:sz w:val="28"/>
              </w:rPr>
              <w:t>« A</w:t>
            </w:r>
            <w:r w:rsidR="005A054F" w:rsidRPr="00E64761">
              <w:rPr>
                <w:sz w:val="28"/>
              </w:rPr>
              <w:t>scenseurs</w:t>
            </w:r>
            <w:r w:rsidR="00E21FA0">
              <w:rPr>
                <w:sz w:val="28"/>
              </w:rPr>
              <w:t xml:space="preserve">                                                                    </w:t>
            </w:r>
            <w:r w:rsidR="00144108">
              <w:rPr>
                <w:sz w:val="28"/>
              </w:rPr>
              <w:t>17</w:t>
            </w:r>
            <w:r w:rsidR="005A054F">
              <w:rPr>
                <w:sz w:val="28"/>
              </w:rPr>
              <w:t>.</w:t>
            </w:r>
            <w:r w:rsidR="00144108">
              <w:rPr>
                <w:sz w:val="28"/>
              </w:rPr>
              <w:t>760</w:t>
            </w:r>
            <w:r w:rsidR="005A054F" w:rsidRPr="00E64761">
              <w:rPr>
                <w:sz w:val="28"/>
              </w:rPr>
              <w:t>.</w:t>
            </w:r>
            <w:r w:rsidR="00144108">
              <w:rPr>
                <w:sz w:val="28"/>
              </w:rPr>
              <w:t>902</w:t>
            </w:r>
            <w:r w:rsidR="005A054F" w:rsidRPr="00E64761">
              <w:rPr>
                <w:sz w:val="28"/>
              </w:rPr>
              <w:t>,</w:t>
            </w:r>
            <w:r w:rsidR="00144108">
              <w:rPr>
                <w:sz w:val="28"/>
              </w:rPr>
              <w:t>54</w:t>
            </w:r>
            <w:r w:rsidR="005A054F" w:rsidRPr="00E64761">
              <w:rPr>
                <w:sz w:val="28"/>
              </w:rPr>
              <w:t xml:space="preserve"> DA</w:t>
            </w:r>
          </w:p>
          <w:p w:rsidR="005A054F" w:rsidRDefault="005A054F" w:rsidP="003C00AA">
            <w:pPr>
              <w:pStyle w:val="Paragraphedeliste"/>
              <w:numPr>
                <w:ilvl w:val="0"/>
                <w:numId w:val="8"/>
              </w:numPr>
              <w:tabs>
                <w:tab w:val="left" w:pos="708"/>
                <w:tab w:val="left" w:pos="1416"/>
                <w:tab w:val="left" w:pos="2124"/>
                <w:tab w:val="left" w:pos="3282"/>
              </w:tabs>
              <w:ind w:left="0" w:firstLine="0"/>
              <w:rPr>
                <w:sz w:val="28"/>
              </w:rPr>
            </w:pPr>
            <w:r>
              <w:rPr>
                <w:sz w:val="28"/>
              </w:rPr>
              <w:t xml:space="preserve">Fournitures </w:t>
            </w:r>
            <w:r w:rsidRPr="00E64761">
              <w:rPr>
                <w:sz w:val="28"/>
              </w:rPr>
              <w:t xml:space="preserve">de bureau et imprimés             </w:t>
            </w:r>
            <w:r w:rsidR="00E21FA0">
              <w:rPr>
                <w:sz w:val="28"/>
              </w:rPr>
              <w:t xml:space="preserve">                    </w:t>
            </w:r>
            <w:r w:rsidRPr="00E64761">
              <w:rPr>
                <w:sz w:val="28"/>
              </w:rPr>
              <w:t xml:space="preserve">   </w:t>
            </w:r>
            <w:r w:rsidR="00144108">
              <w:rPr>
                <w:sz w:val="28"/>
              </w:rPr>
              <w:t>3</w:t>
            </w:r>
            <w:r w:rsidRPr="00E64761">
              <w:rPr>
                <w:sz w:val="28"/>
              </w:rPr>
              <w:t>.</w:t>
            </w:r>
            <w:r w:rsidR="00144108">
              <w:rPr>
                <w:sz w:val="28"/>
              </w:rPr>
              <w:t>242</w:t>
            </w:r>
            <w:r w:rsidRPr="00E64761">
              <w:rPr>
                <w:sz w:val="28"/>
              </w:rPr>
              <w:t>.</w:t>
            </w:r>
            <w:r w:rsidR="00144108">
              <w:rPr>
                <w:sz w:val="28"/>
              </w:rPr>
              <w:t>808</w:t>
            </w:r>
            <w:r w:rsidRPr="00E64761">
              <w:rPr>
                <w:sz w:val="28"/>
              </w:rPr>
              <w:t>,</w:t>
            </w:r>
            <w:r w:rsidR="00144108">
              <w:rPr>
                <w:sz w:val="28"/>
              </w:rPr>
              <w:t>20</w:t>
            </w:r>
            <w:r w:rsidRPr="00E64761">
              <w:rPr>
                <w:sz w:val="28"/>
              </w:rPr>
              <w:t xml:space="preserve">DA    </w:t>
            </w:r>
          </w:p>
          <w:p w:rsidR="005A054F" w:rsidRDefault="005A054F" w:rsidP="003C00AA">
            <w:pPr>
              <w:pStyle w:val="Paragraphedeliste"/>
              <w:numPr>
                <w:ilvl w:val="0"/>
                <w:numId w:val="8"/>
              </w:numPr>
              <w:tabs>
                <w:tab w:val="left" w:pos="708"/>
                <w:tab w:val="left" w:pos="1416"/>
                <w:tab w:val="left" w:pos="2124"/>
                <w:tab w:val="left" w:pos="3282"/>
              </w:tabs>
              <w:ind w:left="0" w:firstLine="0"/>
              <w:rPr>
                <w:sz w:val="28"/>
              </w:rPr>
            </w:pPr>
            <w:r w:rsidRPr="00E64761">
              <w:rPr>
                <w:sz w:val="28"/>
              </w:rPr>
              <w:t>Autres matériels d’exploitation</w:t>
            </w:r>
            <w:r w:rsidR="00E21FA0">
              <w:rPr>
                <w:sz w:val="28"/>
              </w:rPr>
              <w:t xml:space="preserve">                                        </w:t>
            </w:r>
            <w:r w:rsidR="00144108">
              <w:rPr>
                <w:sz w:val="28"/>
              </w:rPr>
              <w:t>42</w:t>
            </w:r>
            <w:r w:rsidRPr="00E64761">
              <w:rPr>
                <w:sz w:val="28"/>
              </w:rPr>
              <w:t>.</w:t>
            </w:r>
            <w:r w:rsidR="00144108">
              <w:rPr>
                <w:sz w:val="28"/>
              </w:rPr>
              <w:t>714</w:t>
            </w:r>
            <w:r w:rsidRPr="00E64761">
              <w:rPr>
                <w:sz w:val="28"/>
              </w:rPr>
              <w:t>.</w:t>
            </w:r>
            <w:r w:rsidR="00144108">
              <w:rPr>
                <w:sz w:val="28"/>
              </w:rPr>
              <w:t>401</w:t>
            </w:r>
            <w:r w:rsidRPr="00E64761">
              <w:rPr>
                <w:sz w:val="28"/>
              </w:rPr>
              <w:t>,</w:t>
            </w:r>
            <w:r w:rsidR="00144108">
              <w:rPr>
                <w:sz w:val="28"/>
              </w:rPr>
              <w:t>00</w:t>
            </w:r>
            <w:r w:rsidRPr="00E64761">
              <w:rPr>
                <w:sz w:val="28"/>
              </w:rPr>
              <w:t xml:space="preserve"> DA  </w:t>
            </w:r>
          </w:p>
          <w:p w:rsidR="005A054F" w:rsidRDefault="005A054F" w:rsidP="003C00AA">
            <w:pPr>
              <w:pStyle w:val="Paragraphedeliste"/>
              <w:numPr>
                <w:ilvl w:val="0"/>
                <w:numId w:val="8"/>
              </w:numPr>
              <w:tabs>
                <w:tab w:val="left" w:pos="708"/>
                <w:tab w:val="left" w:pos="1416"/>
                <w:tab w:val="left" w:pos="2124"/>
                <w:tab w:val="left" w:pos="3282"/>
              </w:tabs>
              <w:ind w:left="0" w:firstLine="0"/>
              <w:rPr>
                <w:sz w:val="28"/>
              </w:rPr>
            </w:pPr>
            <w:r w:rsidRPr="00E64761">
              <w:rPr>
                <w:sz w:val="28"/>
              </w:rPr>
              <w:t>Verrerie, vaisselle</w:t>
            </w:r>
            <w:r w:rsidR="00E21FA0">
              <w:rPr>
                <w:sz w:val="28"/>
              </w:rPr>
              <w:t xml:space="preserve">                                                            </w:t>
            </w:r>
            <w:r w:rsidR="00144108">
              <w:rPr>
                <w:sz w:val="28"/>
              </w:rPr>
              <w:t>86</w:t>
            </w:r>
            <w:r w:rsidRPr="00E64761">
              <w:rPr>
                <w:sz w:val="28"/>
              </w:rPr>
              <w:t>.</w:t>
            </w:r>
            <w:r w:rsidR="00144108">
              <w:rPr>
                <w:sz w:val="28"/>
              </w:rPr>
              <w:t>617</w:t>
            </w:r>
            <w:r w:rsidRPr="00E64761">
              <w:rPr>
                <w:sz w:val="28"/>
              </w:rPr>
              <w:t>.</w:t>
            </w:r>
            <w:r w:rsidR="00144108">
              <w:rPr>
                <w:sz w:val="28"/>
              </w:rPr>
              <w:t>206</w:t>
            </w:r>
            <w:r w:rsidRPr="00E64761">
              <w:rPr>
                <w:sz w:val="28"/>
              </w:rPr>
              <w:t>,</w:t>
            </w:r>
            <w:r w:rsidR="00144108">
              <w:rPr>
                <w:sz w:val="28"/>
              </w:rPr>
              <w:t>43</w:t>
            </w:r>
            <w:r w:rsidRPr="00E64761">
              <w:rPr>
                <w:sz w:val="28"/>
              </w:rPr>
              <w:t xml:space="preserve">DA    </w:t>
            </w:r>
          </w:p>
          <w:p w:rsidR="005A054F" w:rsidRDefault="005A054F" w:rsidP="003C00AA">
            <w:pPr>
              <w:pStyle w:val="Paragraphedeliste"/>
              <w:numPr>
                <w:ilvl w:val="0"/>
                <w:numId w:val="8"/>
              </w:numPr>
              <w:tabs>
                <w:tab w:val="left" w:pos="708"/>
                <w:tab w:val="left" w:pos="1416"/>
                <w:tab w:val="left" w:pos="2124"/>
                <w:tab w:val="left" w:pos="3282"/>
              </w:tabs>
              <w:ind w:left="0" w:firstLine="0"/>
              <w:rPr>
                <w:sz w:val="28"/>
              </w:rPr>
            </w:pPr>
            <w:r w:rsidRPr="00E64761">
              <w:rPr>
                <w:sz w:val="28"/>
              </w:rPr>
              <w:t>Linge éponge et restaurant</w:t>
            </w:r>
            <w:r w:rsidR="00E21FA0">
              <w:rPr>
                <w:sz w:val="28"/>
              </w:rPr>
              <w:t xml:space="preserve">                                             </w:t>
            </w:r>
            <w:r w:rsidR="00C318FF">
              <w:rPr>
                <w:sz w:val="28"/>
              </w:rPr>
              <w:t>511</w:t>
            </w:r>
            <w:r>
              <w:rPr>
                <w:sz w:val="28"/>
              </w:rPr>
              <w:t>.</w:t>
            </w:r>
            <w:r w:rsidR="00C318FF">
              <w:rPr>
                <w:sz w:val="28"/>
              </w:rPr>
              <w:t>154</w:t>
            </w:r>
            <w:r w:rsidRPr="00E64761">
              <w:rPr>
                <w:sz w:val="28"/>
              </w:rPr>
              <w:t>.</w:t>
            </w:r>
            <w:r w:rsidR="00C318FF">
              <w:rPr>
                <w:sz w:val="28"/>
              </w:rPr>
              <w:t>747</w:t>
            </w:r>
            <w:r w:rsidRPr="00E64761">
              <w:rPr>
                <w:sz w:val="28"/>
              </w:rPr>
              <w:t>,</w:t>
            </w:r>
            <w:r w:rsidR="00C318FF">
              <w:rPr>
                <w:sz w:val="28"/>
              </w:rPr>
              <w:t>59</w:t>
            </w:r>
            <w:r>
              <w:rPr>
                <w:sz w:val="28"/>
              </w:rPr>
              <w:t>DA</w:t>
            </w:r>
          </w:p>
          <w:p w:rsidR="005A054F" w:rsidRDefault="005A054F" w:rsidP="003C00AA">
            <w:pPr>
              <w:pStyle w:val="Paragraphedeliste"/>
              <w:numPr>
                <w:ilvl w:val="0"/>
                <w:numId w:val="8"/>
              </w:numPr>
              <w:tabs>
                <w:tab w:val="left" w:pos="708"/>
                <w:tab w:val="left" w:pos="1416"/>
                <w:tab w:val="left" w:pos="2124"/>
                <w:tab w:val="left" w:pos="3282"/>
              </w:tabs>
              <w:ind w:left="0" w:firstLine="0"/>
              <w:rPr>
                <w:sz w:val="28"/>
              </w:rPr>
            </w:pPr>
            <w:r w:rsidRPr="00E64761">
              <w:rPr>
                <w:sz w:val="28"/>
              </w:rPr>
              <w:t>Habillement</w:t>
            </w:r>
            <w:r w:rsidRPr="00E64761">
              <w:rPr>
                <w:sz w:val="28"/>
              </w:rPr>
              <w:tab/>
            </w:r>
            <w:r w:rsidR="00E21FA0">
              <w:rPr>
                <w:sz w:val="28"/>
              </w:rPr>
              <w:t xml:space="preserve">                                                                       </w:t>
            </w:r>
            <w:r w:rsidR="004A5071">
              <w:rPr>
                <w:sz w:val="28"/>
              </w:rPr>
              <w:t>5</w:t>
            </w:r>
            <w:r w:rsidRPr="00E64761">
              <w:rPr>
                <w:sz w:val="28"/>
              </w:rPr>
              <w:t>.</w:t>
            </w:r>
            <w:r w:rsidR="00144108">
              <w:rPr>
                <w:sz w:val="28"/>
              </w:rPr>
              <w:t>232</w:t>
            </w:r>
            <w:r w:rsidRPr="00E64761">
              <w:rPr>
                <w:sz w:val="28"/>
              </w:rPr>
              <w:t>.</w:t>
            </w:r>
            <w:r w:rsidR="00144108">
              <w:rPr>
                <w:sz w:val="28"/>
              </w:rPr>
              <w:t>286</w:t>
            </w:r>
            <w:r w:rsidRPr="00E64761">
              <w:rPr>
                <w:sz w:val="28"/>
              </w:rPr>
              <w:t>,</w:t>
            </w:r>
            <w:r w:rsidR="00144108">
              <w:rPr>
                <w:sz w:val="28"/>
              </w:rPr>
              <w:t>71</w:t>
            </w:r>
            <w:r w:rsidRPr="00E64761">
              <w:rPr>
                <w:sz w:val="28"/>
              </w:rPr>
              <w:t>DA</w:t>
            </w:r>
          </w:p>
          <w:p w:rsidR="005A054F" w:rsidRDefault="005A054F" w:rsidP="003C00AA">
            <w:pPr>
              <w:pStyle w:val="Paragraphedeliste"/>
              <w:numPr>
                <w:ilvl w:val="0"/>
                <w:numId w:val="8"/>
              </w:numPr>
              <w:tabs>
                <w:tab w:val="left" w:pos="708"/>
                <w:tab w:val="left" w:pos="1416"/>
                <w:tab w:val="left" w:pos="2124"/>
                <w:tab w:val="left" w:pos="3282"/>
              </w:tabs>
              <w:ind w:left="0" w:firstLine="0"/>
              <w:rPr>
                <w:sz w:val="28"/>
              </w:rPr>
            </w:pPr>
            <w:r>
              <w:rPr>
                <w:sz w:val="28"/>
              </w:rPr>
              <w:t>Autres matières et fournitures</w:t>
            </w:r>
            <w:r w:rsidR="00E21FA0">
              <w:rPr>
                <w:sz w:val="28"/>
              </w:rPr>
              <w:t xml:space="preserve">                                          </w:t>
            </w:r>
            <w:r w:rsidR="004D10A1">
              <w:rPr>
                <w:sz w:val="28"/>
              </w:rPr>
              <w:t>10</w:t>
            </w:r>
            <w:r w:rsidRPr="00E64761">
              <w:rPr>
                <w:sz w:val="28"/>
              </w:rPr>
              <w:t>.</w:t>
            </w:r>
            <w:r w:rsidR="004D10A1">
              <w:rPr>
                <w:sz w:val="28"/>
              </w:rPr>
              <w:t>636</w:t>
            </w:r>
            <w:r w:rsidRPr="00E64761">
              <w:rPr>
                <w:sz w:val="28"/>
              </w:rPr>
              <w:t>.</w:t>
            </w:r>
            <w:r w:rsidR="00C834A2">
              <w:rPr>
                <w:sz w:val="28"/>
              </w:rPr>
              <w:t>63</w:t>
            </w:r>
            <w:r w:rsidR="004D10A1">
              <w:rPr>
                <w:sz w:val="28"/>
              </w:rPr>
              <w:t>5</w:t>
            </w:r>
            <w:r w:rsidRPr="00E64761">
              <w:rPr>
                <w:sz w:val="28"/>
              </w:rPr>
              <w:t>,</w:t>
            </w:r>
            <w:r w:rsidR="00C834A2">
              <w:rPr>
                <w:sz w:val="28"/>
              </w:rPr>
              <w:t>5</w:t>
            </w:r>
            <w:r w:rsidR="004D10A1">
              <w:rPr>
                <w:sz w:val="28"/>
              </w:rPr>
              <w:t>4</w:t>
            </w:r>
            <w:r w:rsidRPr="00E64761">
              <w:rPr>
                <w:sz w:val="28"/>
              </w:rPr>
              <w:t xml:space="preserve"> DA</w:t>
            </w:r>
          </w:p>
          <w:p w:rsidR="001B7722" w:rsidRDefault="001B7722" w:rsidP="003C00AA">
            <w:pPr>
              <w:pStyle w:val="Paragraphedeliste"/>
              <w:numPr>
                <w:ilvl w:val="0"/>
                <w:numId w:val="8"/>
              </w:numPr>
              <w:tabs>
                <w:tab w:val="left" w:pos="708"/>
                <w:tab w:val="left" w:pos="1416"/>
                <w:tab w:val="left" w:pos="2124"/>
                <w:tab w:val="left" w:pos="3282"/>
              </w:tabs>
              <w:ind w:left="0" w:firstLine="0"/>
              <w:rPr>
                <w:sz w:val="28"/>
              </w:rPr>
            </w:pPr>
            <w:r>
              <w:rPr>
                <w:sz w:val="28"/>
              </w:rPr>
              <w:t xml:space="preserve">Ecarts sur divers stocks  </w:t>
            </w:r>
            <w:r w:rsidR="00E21FA0">
              <w:rPr>
                <w:sz w:val="28"/>
              </w:rPr>
              <w:t xml:space="preserve">                                                  </w:t>
            </w:r>
            <w:r w:rsidR="00B376EC">
              <w:rPr>
                <w:sz w:val="28"/>
              </w:rPr>
              <w:t>33</w:t>
            </w:r>
            <w:r>
              <w:rPr>
                <w:sz w:val="28"/>
              </w:rPr>
              <w:t>.</w:t>
            </w:r>
            <w:r w:rsidR="00B376EC">
              <w:rPr>
                <w:sz w:val="28"/>
              </w:rPr>
              <w:t>239</w:t>
            </w:r>
            <w:r>
              <w:rPr>
                <w:sz w:val="28"/>
              </w:rPr>
              <w:t>.</w:t>
            </w:r>
            <w:r w:rsidR="00B376EC">
              <w:rPr>
                <w:sz w:val="28"/>
              </w:rPr>
              <w:t>996</w:t>
            </w:r>
            <w:r>
              <w:rPr>
                <w:sz w:val="28"/>
              </w:rPr>
              <w:t>,</w:t>
            </w:r>
            <w:r w:rsidR="00B376EC">
              <w:rPr>
                <w:sz w:val="28"/>
              </w:rPr>
              <w:t>33</w:t>
            </w:r>
            <w:r>
              <w:rPr>
                <w:sz w:val="28"/>
              </w:rPr>
              <w:t xml:space="preserve"> DA</w:t>
            </w:r>
          </w:p>
          <w:p w:rsidR="005A054F" w:rsidRPr="0026365B" w:rsidRDefault="005A054F" w:rsidP="00731402">
            <w:pPr>
              <w:rPr>
                <w:sz w:val="28"/>
              </w:rPr>
            </w:pPr>
          </w:p>
          <w:p w:rsidR="0021074C" w:rsidRDefault="002E41DF" w:rsidP="006C2EE6">
            <w:pPr>
              <w:tabs>
                <w:tab w:val="center" w:pos="4419"/>
                <w:tab w:val="right" w:pos="8839"/>
                <w:tab w:val="left" w:pos="9356"/>
              </w:tabs>
              <w:ind w:right="284"/>
              <w:rPr>
                <w:b/>
                <w:bCs/>
                <w:color w:val="0000FF"/>
                <w:sz w:val="28"/>
              </w:rPr>
            </w:pPr>
            <w:r w:rsidRPr="00F959BC">
              <w:rPr>
                <w:b/>
                <w:bCs/>
                <w:color w:val="0000FF"/>
                <w:sz w:val="28"/>
                <w:u w:val="single"/>
              </w:rPr>
              <w:t>Stocks à l’extérieur</w:t>
            </w:r>
            <w:r w:rsidR="00C81D8F" w:rsidRPr="0026365B">
              <w:rPr>
                <w:b/>
                <w:bCs/>
                <w:color w:val="0000FF"/>
                <w:sz w:val="28"/>
              </w:rPr>
              <w:tab/>
            </w:r>
            <w:r w:rsidR="00E21FA0">
              <w:rPr>
                <w:b/>
                <w:bCs/>
                <w:color w:val="0000FF"/>
                <w:sz w:val="28"/>
              </w:rPr>
              <w:t xml:space="preserve">                                                                   </w:t>
            </w:r>
            <w:r w:rsidR="006C2EE6">
              <w:rPr>
                <w:b/>
                <w:bCs/>
                <w:color w:val="0000FF"/>
                <w:sz w:val="28"/>
              </w:rPr>
              <w:t>213</w:t>
            </w:r>
            <w:r w:rsidR="002C5A70" w:rsidRPr="0026365B">
              <w:rPr>
                <w:b/>
                <w:bCs/>
                <w:color w:val="0000FF"/>
                <w:sz w:val="28"/>
              </w:rPr>
              <w:t>.</w:t>
            </w:r>
            <w:r w:rsidR="006C2EE6">
              <w:rPr>
                <w:b/>
                <w:bCs/>
                <w:color w:val="0000FF"/>
                <w:sz w:val="28"/>
              </w:rPr>
              <w:t>313</w:t>
            </w:r>
            <w:r w:rsidR="002C5A70" w:rsidRPr="0026365B">
              <w:rPr>
                <w:b/>
                <w:bCs/>
                <w:color w:val="0000FF"/>
                <w:sz w:val="28"/>
              </w:rPr>
              <w:t>,</w:t>
            </w:r>
            <w:r w:rsidR="006C2EE6">
              <w:rPr>
                <w:b/>
                <w:bCs/>
                <w:color w:val="0000FF"/>
                <w:sz w:val="28"/>
              </w:rPr>
              <w:t>80</w:t>
            </w:r>
            <w:r w:rsidR="002C5A70" w:rsidRPr="0026365B">
              <w:rPr>
                <w:b/>
                <w:bCs/>
                <w:color w:val="0000FF"/>
                <w:sz w:val="28"/>
              </w:rPr>
              <w:t xml:space="preserve"> D</w:t>
            </w:r>
            <w:r w:rsidR="005477E4">
              <w:rPr>
                <w:b/>
                <w:bCs/>
                <w:color w:val="0000FF"/>
                <w:sz w:val="28"/>
              </w:rPr>
              <w:t>A</w:t>
            </w:r>
          </w:p>
          <w:p w:rsidR="005477E4" w:rsidRPr="00831167" w:rsidRDefault="005477E4" w:rsidP="003E3B7F">
            <w:pPr>
              <w:tabs>
                <w:tab w:val="center" w:pos="4419"/>
                <w:tab w:val="right" w:pos="8839"/>
                <w:tab w:val="left" w:pos="9356"/>
              </w:tabs>
              <w:ind w:right="284"/>
              <w:rPr>
                <w:b/>
                <w:bCs/>
                <w:color w:val="0000FF"/>
                <w:sz w:val="28"/>
              </w:rPr>
            </w:pPr>
          </w:p>
        </w:tc>
      </w:tr>
    </w:tbl>
    <w:p w:rsidR="006670A4" w:rsidRDefault="002E41DF" w:rsidP="00A51D18">
      <w:pPr>
        <w:ind w:right="283"/>
        <w:jc w:val="both"/>
        <w:rPr>
          <w:sz w:val="28"/>
        </w:rPr>
      </w:pPr>
      <w:r>
        <w:rPr>
          <w:sz w:val="28"/>
        </w:rPr>
        <w:t xml:space="preserve">La valeur  des stocks est globalement en </w:t>
      </w:r>
      <w:r w:rsidR="00A51D18">
        <w:rPr>
          <w:sz w:val="28"/>
        </w:rPr>
        <w:t xml:space="preserve">très </w:t>
      </w:r>
      <w:r w:rsidR="0021074C">
        <w:rPr>
          <w:sz w:val="28"/>
        </w:rPr>
        <w:t xml:space="preserve">légère </w:t>
      </w:r>
      <w:r w:rsidR="00B30F49">
        <w:rPr>
          <w:sz w:val="28"/>
        </w:rPr>
        <w:t xml:space="preserve">hausse </w:t>
      </w:r>
      <w:r>
        <w:rPr>
          <w:sz w:val="28"/>
        </w:rPr>
        <w:t xml:space="preserve">par rapport </w:t>
      </w:r>
      <w:r w:rsidR="00C834A2">
        <w:rPr>
          <w:sz w:val="28"/>
        </w:rPr>
        <w:t>au premier semestre 202</w:t>
      </w:r>
      <w:r w:rsidR="00A51D18">
        <w:rPr>
          <w:sz w:val="28"/>
        </w:rPr>
        <w:t>1</w:t>
      </w:r>
      <w:r w:rsidR="005B21CD">
        <w:rPr>
          <w:sz w:val="28"/>
        </w:rPr>
        <w:t>,</w:t>
      </w:r>
      <w:r>
        <w:rPr>
          <w:sz w:val="28"/>
        </w:rPr>
        <w:t xml:space="preserve"> elle est de </w:t>
      </w:r>
      <w:r w:rsidR="00A51D18">
        <w:rPr>
          <w:sz w:val="28"/>
        </w:rPr>
        <w:t>plus 0,04</w:t>
      </w:r>
      <w:r>
        <w:rPr>
          <w:sz w:val="28"/>
        </w:rPr>
        <w:t>%, correspondant à un montant de</w:t>
      </w:r>
      <w:r w:rsidR="00C834A2">
        <w:rPr>
          <w:sz w:val="28"/>
        </w:rPr>
        <w:t xml:space="preserve"> 365</w:t>
      </w:r>
      <w:r w:rsidR="0021074C">
        <w:rPr>
          <w:sz w:val="28"/>
        </w:rPr>
        <w:t>.</w:t>
      </w:r>
      <w:r w:rsidR="00A51D18">
        <w:rPr>
          <w:sz w:val="28"/>
        </w:rPr>
        <w:t xml:space="preserve">500,48 </w:t>
      </w:r>
      <w:r w:rsidR="006352E3">
        <w:rPr>
          <w:sz w:val="28"/>
        </w:rPr>
        <w:t>DA</w:t>
      </w:r>
      <w:r w:rsidR="0021074C">
        <w:rPr>
          <w:sz w:val="28"/>
        </w:rPr>
        <w:t>.</w:t>
      </w:r>
    </w:p>
    <w:p w:rsidR="006670A4" w:rsidRDefault="006670A4" w:rsidP="00B30F49">
      <w:pPr>
        <w:ind w:right="283"/>
        <w:jc w:val="both"/>
        <w:rPr>
          <w:sz w:val="28"/>
        </w:rPr>
      </w:pPr>
    </w:p>
    <w:p w:rsidR="00FF3404" w:rsidRDefault="005F72A2" w:rsidP="00A51D18">
      <w:pPr>
        <w:ind w:right="283"/>
        <w:jc w:val="both"/>
        <w:rPr>
          <w:sz w:val="28"/>
        </w:rPr>
      </w:pPr>
      <w:r>
        <w:rPr>
          <w:sz w:val="28"/>
        </w:rPr>
        <w:t xml:space="preserve">Ces stocks </w:t>
      </w:r>
      <w:r w:rsidR="00257AFB">
        <w:rPr>
          <w:sz w:val="28"/>
        </w:rPr>
        <w:t>intègrent</w:t>
      </w:r>
      <w:r w:rsidR="006670A4">
        <w:rPr>
          <w:sz w:val="28"/>
        </w:rPr>
        <w:t xml:space="preserve"> des p</w:t>
      </w:r>
      <w:r w:rsidR="002E695A">
        <w:rPr>
          <w:sz w:val="28"/>
        </w:rPr>
        <w:t>ertes de valeurs</w:t>
      </w:r>
      <w:r w:rsidR="006670A4">
        <w:rPr>
          <w:sz w:val="28"/>
        </w:rPr>
        <w:t xml:space="preserve"> de</w:t>
      </w:r>
      <w:r w:rsidR="00A51D18">
        <w:rPr>
          <w:sz w:val="28"/>
        </w:rPr>
        <w:t xml:space="preserve"> 66</w:t>
      </w:r>
      <w:r w:rsidR="006670A4">
        <w:rPr>
          <w:sz w:val="28"/>
        </w:rPr>
        <w:t>.</w:t>
      </w:r>
      <w:r w:rsidR="00A51D18">
        <w:rPr>
          <w:sz w:val="28"/>
        </w:rPr>
        <w:t>439</w:t>
      </w:r>
      <w:r w:rsidR="006670A4">
        <w:rPr>
          <w:sz w:val="28"/>
        </w:rPr>
        <w:t>.</w:t>
      </w:r>
      <w:r w:rsidR="00A51D18">
        <w:rPr>
          <w:sz w:val="28"/>
        </w:rPr>
        <w:t>148,01 DA correspondant à 7,4</w:t>
      </w:r>
      <w:r w:rsidR="006670A4">
        <w:rPr>
          <w:sz w:val="28"/>
        </w:rPr>
        <w:t>% de la valeur global des st</w:t>
      </w:r>
      <w:r w:rsidR="00A51D18">
        <w:rPr>
          <w:sz w:val="28"/>
        </w:rPr>
        <w:t>ocks, toutes natures confondues, dont un montant de 33.237.275.64 DA se rapporte aux pertes de valeurs constituées sur les différents écarts de stocks relevés à la date du 31 Décembre 2021.</w:t>
      </w:r>
    </w:p>
    <w:p w:rsidR="007E56BD" w:rsidRDefault="007E56BD" w:rsidP="002E41DF">
      <w:pPr>
        <w:ind w:right="283"/>
        <w:jc w:val="both"/>
        <w:rPr>
          <w:sz w:val="28"/>
        </w:rPr>
      </w:pPr>
    </w:p>
    <w:p w:rsidR="00CD57C8" w:rsidRDefault="005B21CD" w:rsidP="004B3241">
      <w:pPr>
        <w:ind w:right="283"/>
        <w:jc w:val="both"/>
        <w:rPr>
          <w:sz w:val="28"/>
        </w:rPr>
      </w:pPr>
      <w:r>
        <w:rPr>
          <w:sz w:val="28"/>
        </w:rPr>
        <w:t xml:space="preserve">Les catégories de stocks objets de l’écart global relevé </w:t>
      </w:r>
      <w:r w:rsidR="00CD57C8">
        <w:rPr>
          <w:sz w:val="28"/>
        </w:rPr>
        <w:t>à la date du 31Décembre 2021</w:t>
      </w:r>
      <w:r>
        <w:rPr>
          <w:sz w:val="28"/>
        </w:rPr>
        <w:t xml:space="preserve">d’un montant </w:t>
      </w:r>
      <w:r w:rsidR="00CD57C8">
        <w:rPr>
          <w:sz w:val="28"/>
        </w:rPr>
        <w:t xml:space="preserve">global </w:t>
      </w:r>
      <w:r>
        <w:rPr>
          <w:sz w:val="28"/>
        </w:rPr>
        <w:t>de</w:t>
      </w:r>
      <w:r w:rsidR="00CD57C8">
        <w:rPr>
          <w:sz w:val="28"/>
        </w:rPr>
        <w:t xml:space="preserve"> 33</w:t>
      </w:r>
      <w:r>
        <w:rPr>
          <w:sz w:val="28"/>
        </w:rPr>
        <w:t>.</w:t>
      </w:r>
      <w:r w:rsidR="00CD57C8">
        <w:rPr>
          <w:sz w:val="28"/>
        </w:rPr>
        <w:t>660</w:t>
      </w:r>
      <w:r>
        <w:rPr>
          <w:sz w:val="28"/>
        </w:rPr>
        <w:t>.</w:t>
      </w:r>
      <w:r w:rsidR="00CD57C8">
        <w:rPr>
          <w:sz w:val="28"/>
        </w:rPr>
        <w:t>664</w:t>
      </w:r>
      <w:r>
        <w:rPr>
          <w:sz w:val="28"/>
        </w:rPr>
        <w:t>,</w:t>
      </w:r>
      <w:r w:rsidR="00CD57C8">
        <w:rPr>
          <w:sz w:val="28"/>
        </w:rPr>
        <w:t>35</w:t>
      </w:r>
      <w:r>
        <w:rPr>
          <w:sz w:val="28"/>
        </w:rPr>
        <w:t xml:space="preserve"> DA</w:t>
      </w:r>
      <w:r w:rsidR="006418C0">
        <w:rPr>
          <w:sz w:val="28"/>
        </w:rPr>
        <w:t xml:space="preserve">. </w:t>
      </w:r>
      <w:r w:rsidR="004B3241">
        <w:rPr>
          <w:sz w:val="28"/>
        </w:rPr>
        <w:t xml:space="preserve">Les écarts </w:t>
      </w:r>
      <w:r w:rsidR="00CD57C8">
        <w:rPr>
          <w:sz w:val="28"/>
        </w:rPr>
        <w:t xml:space="preserve">au 30 Juin  </w:t>
      </w:r>
      <w:r w:rsidR="004B3241">
        <w:rPr>
          <w:sz w:val="28"/>
        </w:rPr>
        <w:t xml:space="preserve">2022, objets de la perte de valeursont </w:t>
      </w:r>
      <w:r w:rsidR="00CD57C8">
        <w:rPr>
          <w:sz w:val="28"/>
        </w:rPr>
        <w:t>ventilé</w:t>
      </w:r>
      <w:r w:rsidR="004B3241">
        <w:rPr>
          <w:sz w:val="28"/>
        </w:rPr>
        <w:t>s</w:t>
      </w:r>
      <w:r w:rsidR="00CD57C8">
        <w:rPr>
          <w:sz w:val="28"/>
        </w:rPr>
        <w:t xml:space="preserve"> comme suit :</w:t>
      </w:r>
    </w:p>
    <w:p w:rsidR="00CD57C8" w:rsidRDefault="00CD57C8" w:rsidP="00CD57C8">
      <w:pPr>
        <w:ind w:right="283"/>
        <w:jc w:val="both"/>
        <w:rPr>
          <w:sz w:val="28"/>
        </w:rPr>
      </w:pPr>
    </w:p>
    <w:p w:rsidR="00CD57C8" w:rsidRDefault="00CD57C8" w:rsidP="003C00AA">
      <w:pPr>
        <w:pStyle w:val="Paragraphedeliste"/>
        <w:numPr>
          <w:ilvl w:val="0"/>
          <w:numId w:val="27"/>
        </w:numPr>
        <w:ind w:right="283"/>
        <w:jc w:val="both"/>
        <w:rPr>
          <w:sz w:val="28"/>
        </w:rPr>
      </w:pPr>
      <w:r>
        <w:rPr>
          <w:sz w:val="28"/>
        </w:rPr>
        <w:t>Ecart sur stocks de boissons                             166.576,29 DA</w:t>
      </w:r>
    </w:p>
    <w:p w:rsidR="00CD57C8" w:rsidRDefault="00CD57C8" w:rsidP="003C00AA">
      <w:pPr>
        <w:pStyle w:val="Paragraphedeliste"/>
        <w:numPr>
          <w:ilvl w:val="0"/>
          <w:numId w:val="27"/>
        </w:numPr>
        <w:ind w:right="283"/>
        <w:jc w:val="both"/>
        <w:rPr>
          <w:sz w:val="28"/>
        </w:rPr>
      </w:pPr>
      <w:r>
        <w:rPr>
          <w:sz w:val="28"/>
        </w:rPr>
        <w:t>Ecart sur stocks de denrées                               217.092,85 DA</w:t>
      </w:r>
    </w:p>
    <w:p w:rsidR="00CD57C8" w:rsidRDefault="00CD57C8" w:rsidP="003C00AA">
      <w:pPr>
        <w:pStyle w:val="Paragraphedeliste"/>
        <w:numPr>
          <w:ilvl w:val="0"/>
          <w:numId w:val="27"/>
        </w:numPr>
        <w:ind w:right="283"/>
        <w:jc w:val="both"/>
        <w:rPr>
          <w:sz w:val="28"/>
        </w:rPr>
      </w:pPr>
      <w:r>
        <w:rPr>
          <w:sz w:val="28"/>
        </w:rPr>
        <w:t>Ecart sur autre</w:t>
      </w:r>
      <w:r w:rsidR="007A6DF1">
        <w:rPr>
          <w:sz w:val="28"/>
        </w:rPr>
        <w:t xml:space="preserve">s approvisionnements        </w:t>
      </w:r>
      <w:r w:rsidR="00E21FA0">
        <w:rPr>
          <w:sz w:val="28"/>
        </w:rPr>
        <w:t xml:space="preserve">     </w:t>
      </w:r>
      <w:r w:rsidR="007A6DF1">
        <w:rPr>
          <w:sz w:val="28"/>
        </w:rPr>
        <w:t xml:space="preserve">  </w:t>
      </w:r>
      <w:r>
        <w:rPr>
          <w:sz w:val="28"/>
        </w:rPr>
        <w:t>32.853.606,50 DA</w:t>
      </w:r>
    </w:p>
    <w:p w:rsidR="007A6DF1" w:rsidRDefault="007A6DF1" w:rsidP="007A6DF1">
      <w:pPr>
        <w:pStyle w:val="Paragraphedeliste"/>
        <w:ind w:left="2487" w:right="283"/>
        <w:jc w:val="both"/>
        <w:rPr>
          <w:sz w:val="28"/>
        </w:rPr>
      </w:pPr>
    </w:p>
    <w:p w:rsidR="00586553" w:rsidRDefault="00CD57C8" w:rsidP="004B3241">
      <w:pPr>
        <w:ind w:right="283"/>
        <w:jc w:val="both"/>
        <w:rPr>
          <w:sz w:val="28"/>
        </w:rPr>
      </w:pPr>
      <w:r>
        <w:rPr>
          <w:sz w:val="28"/>
        </w:rPr>
        <w:t xml:space="preserve">Ces écarts </w:t>
      </w:r>
      <w:r w:rsidR="004B3241">
        <w:rPr>
          <w:sz w:val="28"/>
        </w:rPr>
        <w:t xml:space="preserve">issus </w:t>
      </w:r>
      <w:r>
        <w:rPr>
          <w:sz w:val="28"/>
        </w:rPr>
        <w:t>de remarques et d’observations du commissaire aux comptes au titre de</w:t>
      </w:r>
      <w:r w:rsidR="007A6DF1">
        <w:rPr>
          <w:sz w:val="28"/>
        </w:rPr>
        <w:t xml:space="preserve"> sa mission portant sur </w:t>
      </w:r>
      <w:r>
        <w:rPr>
          <w:sz w:val="28"/>
        </w:rPr>
        <w:t xml:space="preserve"> l’exercice 2021 n’ont connu aucun retraitement, assainissement ou apurement durant le premier semestre 2022. L’écart global  représente </w:t>
      </w:r>
      <w:r w:rsidR="00586553">
        <w:rPr>
          <w:sz w:val="28"/>
        </w:rPr>
        <w:t xml:space="preserve">3,8% du volume des stocks à la date du 30 Juin 2022. </w:t>
      </w:r>
    </w:p>
    <w:p w:rsidR="00586553" w:rsidRDefault="00586553" w:rsidP="00CD57C8">
      <w:pPr>
        <w:ind w:right="283"/>
        <w:jc w:val="both"/>
        <w:rPr>
          <w:sz w:val="28"/>
        </w:rPr>
      </w:pPr>
    </w:p>
    <w:p w:rsidR="00586553" w:rsidRPr="007A6DF1" w:rsidRDefault="00586553" w:rsidP="004B3241">
      <w:pPr>
        <w:ind w:right="283"/>
        <w:jc w:val="both"/>
        <w:rPr>
          <w:sz w:val="28"/>
        </w:rPr>
      </w:pPr>
      <w:r>
        <w:rPr>
          <w:sz w:val="28"/>
        </w:rPr>
        <w:t xml:space="preserve">Ces  écarts devront être assainis par chacune des structures concernées, dans les plus brefs délais </w:t>
      </w:r>
      <w:r w:rsidR="007A6DF1">
        <w:rPr>
          <w:sz w:val="28"/>
        </w:rPr>
        <w:t xml:space="preserve">et, </w:t>
      </w:r>
      <w:r>
        <w:rPr>
          <w:sz w:val="28"/>
        </w:rPr>
        <w:t xml:space="preserve"> en tout état de cause avant la clôture de l’exercice 2022. Il reste entendu que des </w:t>
      </w:r>
      <w:r w:rsidR="007A6DF1">
        <w:rPr>
          <w:sz w:val="28"/>
        </w:rPr>
        <w:t xml:space="preserve">dispositions </w:t>
      </w:r>
      <w:r>
        <w:rPr>
          <w:sz w:val="28"/>
        </w:rPr>
        <w:t>devront être prises en la matière</w:t>
      </w:r>
      <w:r w:rsidR="007A6DF1">
        <w:rPr>
          <w:sz w:val="28"/>
        </w:rPr>
        <w:t xml:space="preserve">, </w:t>
      </w:r>
      <w:r>
        <w:rPr>
          <w:sz w:val="28"/>
        </w:rPr>
        <w:t xml:space="preserve"> pour parvenir dans les délais </w:t>
      </w:r>
      <w:r w:rsidR="007A6DF1">
        <w:rPr>
          <w:sz w:val="28"/>
        </w:rPr>
        <w:t xml:space="preserve">indiqués </w:t>
      </w:r>
      <w:r>
        <w:rPr>
          <w:sz w:val="28"/>
        </w:rPr>
        <w:t xml:space="preserve">à </w:t>
      </w:r>
      <w:r w:rsidR="004B3241">
        <w:rPr>
          <w:sz w:val="28"/>
        </w:rPr>
        <w:t>l’assainissement recommandé.</w:t>
      </w:r>
    </w:p>
    <w:p w:rsidR="00586553" w:rsidRDefault="00586553" w:rsidP="002E41DF">
      <w:pPr>
        <w:ind w:right="283"/>
        <w:jc w:val="both"/>
        <w:rPr>
          <w:b/>
          <w:color w:val="0000FF"/>
          <w:sz w:val="28"/>
          <w:u w:val="single"/>
        </w:rPr>
      </w:pPr>
    </w:p>
    <w:p w:rsidR="002E41DF" w:rsidRDefault="00393FCC" w:rsidP="002E41DF">
      <w:pPr>
        <w:ind w:right="283"/>
        <w:jc w:val="both"/>
        <w:rPr>
          <w:b/>
          <w:color w:val="0000FF"/>
          <w:sz w:val="28"/>
          <w:u w:val="single"/>
        </w:rPr>
      </w:pPr>
      <w:r>
        <w:rPr>
          <w:b/>
          <w:color w:val="0000FF"/>
          <w:sz w:val="28"/>
          <w:u w:val="single"/>
        </w:rPr>
        <w:t>3</w:t>
      </w:r>
      <w:r w:rsidR="002E41DF">
        <w:rPr>
          <w:b/>
          <w:color w:val="0000FF"/>
          <w:sz w:val="28"/>
          <w:u w:val="single"/>
        </w:rPr>
        <w:t>-1-1-3 Les créances &amp; emplois assimilés</w:t>
      </w:r>
    </w:p>
    <w:p w:rsidR="002E41DF" w:rsidRDefault="002E41DF" w:rsidP="002E41DF">
      <w:pPr>
        <w:ind w:right="283"/>
        <w:jc w:val="both"/>
        <w:rPr>
          <w:sz w:val="28"/>
        </w:rPr>
      </w:pPr>
    </w:p>
    <w:p w:rsidR="002E41DF" w:rsidRDefault="002E41DF" w:rsidP="00906CFF">
      <w:pPr>
        <w:ind w:right="283"/>
        <w:jc w:val="both"/>
        <w:rPr>
          <w:sz w:val="28"/>
        </w:rPr>
      </w:pPr>
      <w:r>
        <w:rPr>
          <w:sz w:val="28"/>
        </w:rPr>
        <w:t>La masse brute cumulée  des créances et emplois assimilés  inscrite au bilan s’élève à</w:t>
      </w:r>
      <w:r w:rsidR="00906CFF">
        <w:rPr>
          <w:sz w:val="28"/>
        </w:rPr>
        <w:t xml:space="preserve"> 1</w:t>
      </w:r>
      <w:r>
        <w:rPr>
          <w:sz w:val="28"/>
        </w:rPr>
        <w:t>.</w:t>
      </w:r>
      <w:r w:rsidR="00906CFF">
        <w:rPr>
          <w:sz w:val="28"/>
        </w:rPr>
        <w:t>879</w:t>
      </w:r>
      <w:r>
        <w:rPr>
          <w:sz w:val="28"/>
        </w:rPr>
        <w:t>.</w:t>
      </w:r>
      <w:r w:rsidR="00906CFF">
        <w:rPr>
          <w:sz w:val="28"/>
        </w:rPr>
        <w:t>822</w:t>
      </w:r>
      <w:r>
        <w:rPr>
          <w:sz w:val="28"/>
        </w:rPr>
        <w:t>.</w:t>
      </w:r>
      <w:r w:rsidR="00906CFF">
        <w:rPr>
          <w:sz w:val="28"/>
        </w:rPr>
        <w:t>509</w:t>
      </w:r>
      <w:r w:rsidR="00C50307">
        <w:rPr>
          <w:sz w:val="28"/>
        </w:rPr>
        <w:t>,</w:t>
      </w:r>
      <w:r w:rsidR="00906CFF">
        <w:rPr>
          <w:sz w:val="28"/>
        </w:rPr>
        <w:t>26</w:t>
      </w:r>
      <w:r>
        <w:rPr>
          <w:sz w:val="28"/>
        </w:rPr>
        <w:t>DA, avec une</w:t>
      </w:r>
      <w:r w:rsidR="00471FFE">
        <w:rPr>
          <w:sz w:val="28"/>
        </w:rPr>
        <w:t xml:space="preserve">baisse </w:t>
      </w:r>
      <w:r w:rsidR="00906CFF">
        <w:rPr>
          <w:sz w:val="28"/>
        </w:rPr>
        <w:t xml:space="preserve">sensible </w:t>
      </w:r>
      <w:r>
        <w:rPr>
          <w:sz w:val="28"/>
        </w:rPr>
        <w:t>de l’ordre de</w:t>
      </w:r>
      <w:r w:rsidR="00906CFF">
        <w:rPr>
          <w:sz w:val="28"/>
        </w:rPr>
        <w:t xml:space="preserve"> 18,2</w:t>
      </w:r>
      <w:r>
        <w:rPr>
          <w:sz w:val="28"/>
        </w:rPr>
        <w:t>%.</w:t>
      </w:r>
    </w:p>
    <w:p w:rsidR="002E41DF" w:rsidRDefault="002E41DF" w:rsidP="002E41DF">
      <w:pPr>
        <w:ind w:right="283"/>
        <w:jc w:val="both"/>
        <w:rPr>
          <w:sz w:val="28"/>
        </w:rPr>
      </w:pPr>
    </w:p>
    <w:p w:rsidR="007A6DF1" w:rsidRDefault="007A6DF1" w:rsidP="002E41DF">
      <w:pPr>
        <w:ind w:right="283"/>
        <w:jc w:val="both"/>
        <w:rPr>
          <w:sz w:val="28"/>
        </w:rPr>
      </w:pPr>
    </w:p>
    <w:p w:rsidR="007A6DF1" w:rsidRDefault="007A6DF1" w:rsidP="002E41DF">
      <w:pPr>
        <w:ind w:right="283"/>
        <w:jc w:val="both"/>
        <w:rPr>
          <w:sz w:val="28"/>
        </w:rPr>
      </w:pPr>
    </w:p>
    <w:p w:rsidR="007A6DF1" w:rsidRDefault="007A6DF1" w:rsidP="002E41DF">
      <w:pPr>
        <w:ind w:right="283"/>
        <w:jc w:val="both"/>
        <w:rPr>
          <w:sz w:val="28"/>
        </w:rPr>
      </w:pPr>
    </w:p>
    <w:p w:rsidR="002E41DF" w:rsidRDefault="002E41DF" w:rsidP="002E41DF">
      <w:pPr>
        <w:ind w:right="283"/>
        <w:jc w:val="both"/>
        <w:rPr>
          <w:sz w:val="28"/>
        </w:rPr>
      </w:pPr>
      <w:r>
        <w:rPr>
          <w:sz w:val="28"/>
        </w:rPr>
        <w:t>Ces créances s’établissent comme suit :</w:t>
      </w:r>
    </w:p>
    <w:p w:rsidR="002E41DF" w:rsidRDefault="002E41DF" w:rsidP="002E41DF">
      <w:pPr>
        <w:ind w:right="283"/>
        <w:jc w:val="both"/>
        <w:rPr>
          <w:sz w:val="28"/>
        </w:rPr>
      </w:pPr>
    </w:p>
    <w:p w:rsidR="002E41DF" w:rsidRDefault="002E41DF" w:rsidP="003C00AA">
      <w:pPr>
        <w:numPr>
          <w:ilvl w:val="0"/>
          <w:numId w:val="14"/>
        </w:numPr>
        <w:tabs>
          <w:tab w:val="num" w:pos="1080"/>
        </w:tabs>
        <w:ind w:right="283"/>
        <w:jc w:val="both"/>
        <w:rPr>
          <w:sz w:val="28"/>
        </w:rPr>
      </w:pPr>
      <w:r>
        <w:rPr>
          <w:sz w:val="28"/>
        </w:rPr>
        <w:t>Créances &amp;emploi</w:t>
      </w:r>
      <w:r w:rsidR="007A6DF1">
        <w:rPr>
          <w:sz w:val="28"/>
        </w:rPr>
        <w:t xml:space="preserve">s assimilés dont                    </w:t>
      </w:r>
      <w:r w:rsidR="00E21FA0">
        <w:rPr>
          <w:sz w:val="28"/>
        </w:rPr>
        <w:t xml:space="preserve">            </w:t>
      </w:r>
      <w:r w:rsidR="007A6DF1">
        <w:rPr>
          <w:sz w:val="28"/>
        </w:rPr>
        <w:t xml:space="preserve"> 932</w:t>
      </w:r>
      <w:r>
        <w:rPr>
          <w:sz w:val="28"/>
        </w:rPr>
        <w:t>.</w:t>
      </w:r>
      <w:r w:rsidR="007A6DF1">
        <w:rPr>
          <w:sz w:val="28"/>
        </w:rPr>
        <w:t>649</w:t>
      </w:r>
      <w:r>
        <w:rPr>
          <w:sz w:val="28"/>
        </w:rPr>
        <w:t>.</w:t>
      </w:r>
      <w:r w:rsidR="007A6DF1">
        <w:rPr>
          <w:sz w:val="28"/>
        </w:rPr>
        <w:t>795</w:t>
      </w:r>
      <w:r>
        <w:rPr>
          <w:sz w:val="28"/>
        </w:rPr>
        <w:t>,</w:t>
      </w:r>
      <w:r w:rsidR="003D7FEE">
        <w:rPr>
          <w:sz w:val="28"/>
        </w:rPr>
        <w:t xml:space="preserve">86 </w:t>
      </w:r>
      <w:r>
        <w:rPr>
          <w:sz w:val="28"/>
        </w:rPr>
        <w:t>DA</w:t>
      </w:r>
    </w:p>
    <w:p w:rsidR="002E41DF" w:rsidRDefault="002E41DF" w:rsidP="007A6DF1">
      <w:pPr>
        <w:tabs>
          <w:tab w:val="num" w:pos="1080"/>
        </w:tabs>
        <w:ind w:left="360" w:right="283"/>
        <w:jc w:val="both"/>
        <w:rPr>
          <w:sz w:val="28"/>
        </w:rPr>
      </w:pPr>
      <w:r>
        <w:rPr>
          <w:sz w:val="28"/>
        </w:rPr>
        <w:t xml:space="preserve">         - Clien</w:t>
      </w:r>
      <w:r w:rsidR="007A6DF1">
        <w:rPr>
          <w:sz w:val="28"/>
        </w:rPr>
        <w:t>ts et Comptes rattachés</w:t>
      </w:r>
      <w:r w:rsidR="007A6DF1">
        <w:rPr>
          <w:sz w:val="28"/>
        </w:rPr>
        <w:tab/>
      </w:r>
      <w:r w:rsidR="00E21FA0">
        <w:rPr>
          <w:sz w:val="28"/>
        </w:rPr>
        <w:t xml:space="preserve">                       </w:t>
      </w:r>
      <w:r w:rsidR="007A6DF1">
        <w:rPr>
          <w:sz w:val="28"/>
        </w:rPr>
        <w:t>582</w:t>
      </w:r>
      <w:r>
        <w:rPr>
          <w:sz w:val="28"/>
        </w:rPr>
        <w:t>.</w:t>
      </w:r>
      <w:r w:rsidR="007A6DF1">
        <w:rPr>
          <w:sz w:val="28"/>
        </w:rPr>
        <w:t>577</w:t>
      </w:r>
      <w:r>
        <w:rPr>
          <w:sz w:val="28"/>
        </w:rPr>
        <w:t>.</w:t>
      </w:r>
      <w:r w:rsidR="007A6DF1">
        <w:rPr>
          <w:sz w:val="28"/>
        </w:rPr>
        <w:t>943</w:t>
      </w:r>
      <w:r>
        <w:rPr>
          <w:sz w:val="28"/>
        </w:rPr>
        <w:t>,</w:t>
      </w:r>
      <w:r w:rsidR="007A6DF1">
        <w:rPr>
          <w:sz w:val="28"/>
        </w:rPr>
        <w:t>51</w:t>
      </w:r>
      <w:r w:rsidR="00E21FA0">
        <w:rPr>
          <w:sz w:val="28"/>
        </w:rPr>
        <w:t xml:space="preserve">  </w:t>
      </w:r>
      <w:r>
        <w:rPr>
          <w:sz w:val="28"/>
        </w:rPr>
        <w:t>DA</w:t>
      </w:r>
    </w:p>
    <w:p w:rsidR="002E41DF" w:rsidRDefault="002E41DF" w:rsidP="007A6DF1">
      <w:pPr>
        <w:tabs>
          <w:tab w:val="num" w:pos="1080"/>
        </w:tabs>
        <w:ind w:right="283"/>
        <w:jc w:val="both"/>
        <w:rPr>
          <w:sz w:val="28"/>
        </w:rPr>
      </w:pPr>
      <w:r>
        <w:rPr>
          <w:sz w:val="28"/>
        </w:rPr>
        <w:t xml:space="preserve">              - Autres Débi</w:t>
      </w:r>
      <w:r w:rsidR="007A6DF1">
        <w:rPr>
          <w:sz w:val="28"/>
        </w:rPr>
        <w:t>teurs</w:t>
      </w:r>
      <w:r w:rsidR="007A6DF1">
        <w:rPr>
          <w:sz w:val="28"/>
        </w:rPr>
        <w:tab/>
      </w:r>
      <w:r w:rsidR="00E21FA0">
        <w:rPr>
          <w:sz w:val="28"/>
        </w:rPr>
        <w:t xml:space="preserve">                                          </w:t>
      </w:r>
      <w:r w:rsidR="007A6DF1">
        <w:rPr>
          <w:sz w:val="28"/>
        </w:rPr>
        <w:t>125</w:t>
      </w:r>
      <w:r>
        <w:rPr>
          <w:sz w:val="28"/>
        </w:rPr>
        <w:t>.</w:t>
      </w:r>
      <w:r w:rsidR="007A6DF1">
        <w:rPr>
          <w:sz w:val="28"/>
        </w:rPr>
        <w:t>281</w:t>
      </w:r>
      <w:r>
        <w:rPr>
          <w:sz w:val="28"/>
        </w:rPr>
        <w:t>.</w:t>
      </w:r>
      <w:r w:rsidR="007A6DF1">
        <w:rPr>
          <w:sz w:val="28"/>
        </w:rPr>
        <w:t>974</w:t>
      </w:r>
      <w:r>
        <w:rPr>
          <w:sz w:val="28"/>
        </w:rPr>
        <w:t>,</w:t>
      </w:r>
      <w:r w:rsidR="007A6DF1">
        <w:rPr>
          <w:sz w:val="28"/>
        </w:rPr>
        <w:t>61</w:t>
      </w:r>
      <w:r w:rsidR="00E21FA0">
        <w:rPr>
          <w:sz w:val="28"/>
        </w:rPr>
        <w:t xml:space="preserve">  </w:t>
      </w:r>
      <w:r>
        <w:rPr>
          <w:sz w:val="28"/>
        </w:rPr>
        <w:t>DA</w:t>
      </w:r>
    </w:p>
    <w:p w:rsidR="002E41DF" w:rsidRDefault="002E41DF" w:rsidP="007A6DF1">
      <w:pPr>
        <w:tabs>
          <w:tab w:val="num" w:pos="1080"/>
        </w:tabs>
        <w:ind w:left="360" w:right="283"/>
        <w:jc w:val="both"/>
        <w:rPr>
          <w:sz w:val="28"/>
        </w:rPr>
      </w:pPr>
      <w:r>
        <w:rPr>
          <w:sz w:val="28"/>
        </w:rPr>
        <w:t xml:space="preserve">          -Impôts et</w:t>
      </w:r>
      <w:r w:rsidR="007A6DF1">
        <w:rPr>
          <w:sz w:val="28"/>
        </w:rPr>
        <w:t xml:space="preserve"> assimilés</w:t>
      </w:r>
      <w:r w:rsidR="007A6DF1">
        <w:rPr>
          <w:sz w:val="28"/>
        </w:rPr>
        <w:tab/>
      </w:r>
      <w:r w:rsidR="007A6DF1">
        <w:rPr>
          <w:sz w:val="28"/>
        </w:rPr>
        <w:tab/>
      </w:r>
      <w:r w:rsidR="007A6DF1">
        <w:rPr>
          <w:sz w:val="28"/>
        </w:rPr>
        <w:tab/>
      </w:r>
      <w:r w:rsidR="00E21FA0">
        <w:rPr>
          <w:sz w:val="28"/>
        </w:rPr>
        <w:t xml:space="preserve">                        </w:t>
      </w:r>
      <w:r w:rsidR="007A6DF1">
        <w:rPr>
          <w:sz w:val="28"/>
        </w:rPr>
        <w:t>224</w:t>
      </w:r>
      <w:r>
        <w:rPr>
          <w:sz w:val="28"/>
        </w:rPr>
        <w:t>.</w:t>
      </w:r>
      <w:r w:rsidR="007A6DF1">
        <w:rPr>
          <w:sz w:val="28"/>
        </w:rPr>
        <w:t>789</w:t>
      </w:r>
      <w:r>
        <w:rPr>
          <w:sz w:val="28"/>
        </w:rPr>
        <w:t>.</w:t>
      </w:r>
      <w:r w:rsidR="007A6DF1">
        <w:rPr>
          <w:sz w:val="28"/>
        </w:rPr>
        <w:t>877</w:t>
      </w:r>
      <w:r>
        <w:rPr>
          <w:sz w:val="28"/>
        </w:rPr>
        <w:t>,</w:t>
      </w:r>
      <w:r w:rsidR="007A6DF1">
        <w:rPr>
          <w:sz w:val="28"/>
        </w:rPr>
        <w:t>74</w:t>
      </w:r>
      <w:r w:rsidR="00E21FA0">
        <w:rPr>
          <w:sz w:val="28"/>
        </w:rPr>
        <w:t xml:space="preserve"> </w:t>
      </w:r>
      <w:r>
        <w:rPr>
          <w:sz w:val="28"/>
        </w:rPr>
        <w:t>DA</w:t>
      </w:r>
    </w:p>
    <w:p w:rsidR="002E41DF" w:rsidRDefault="002E41DF" w:rsidP="003C00AA">
      <w:pPr>
        <w:numPr>
          <w:ilvl w:val="0"/>
          <w:numId w:val="14"/>
        </w:numPr>
        <w:tabs>
          <w:tab w:val="num" w:pos="1080"/>
        </w:tabs>
        <w:ind w:right="283"/>
        <w:jc w:val="both"/>
        <w:rPr>
          <w:sz w:val="28"/>
        </w:rPr>
      </w:pPr>
      <w:r>
        <w:rPr>
          <w:sz w:val="28"/>
        </w:rPr>
        <w:t>Dispo</w:t>
      </w:r>
      <w:r w:rsidR="007A6DF1">
        <w:rPr>
          <w:sz w:val="28"/>
        </w:rPr>
        <w:t>nibilités et assimilés</w:t>
      </w:r>
      <w:r w:rsidR="007A6DF1">
        <w:rPr>
          <w:sz w:val="28"/>
        </w:rPr>
        <w:tab/>
      </w:r>
      <w:r w:rsidR="00E21FA0">
        <w:rPr>
          <w:sz w:val="28"/>
        </w:rPr>
        <w:t xml:space="preserve">                                           </w:t>
      </w:r>
      <w:r w:rsidR="00906CFF">
        <w:rPr>
          <w:sz w:val="28"/>
        </w:rPr>
        <w:t>947</w:t>
      </w:r>
      <w:r>
        <w:rPr>
          <w:sz w:val="28"/>
        </w:rPr>
        <w:t>.</w:t>
      </w:r>
      <w:r w:rsidR="00906CFF">
        <w:rPr>
          <w:sz w:val="28"/>
        </w:rPr>
        <w:t>172</w:t>
      </w:r>
      <w:r>
        <w:rPr>
          <w:sz w:val="28"/>
        </w:rPr>
        <w:t>.</w:t>
      </w:r>
      <w:r w:rsidR="00906CFF">
        <w:rPr>
          <w:sz w:val="28"/>
        </w:rPr>
        <w:t>713</w:t>
      </w:r>
      <w:r>
        <w:rPr>
          <w:sz w:val="28"/>
        </w:rPr>
        <w:t>,</w:t>
      </w:r>
      <w:r w:rsidR="00906CFF">
        <w:rPr>
          <w:sz w:val="28"/>
        </w:rPr>
        <w:t>40</w:t>
      </w:r>
      <w:r w:rsidR="00E21FA0">
        <w:rPr>
          <w:sz w:val="28"/>
        </w:rPr>
        <w:t xml:space="preserve"> </w:t>
      </w:r>
      <w:r>
        <w:rPr>
          <w:sz w:val="28"/>
        </w:rPr>
        <w:t>DA</w:t>
      </w:r>
    </w:p>
    <w:p w:rsidR="0012073A" w:rsidRDefault="002E41DF" w:rsidP="00906CFF">
      <w:pPr>
        <w:tabs>
          <w:tab w:val="num" w:pos="1080"/>
        </w:tabs>
        <w:ind w:right="283"/>
        <w:jc w:val="both"/>
        <w:rPr>
          <w:sz w:val="28"/>
        </w:rPr>
      </w:pPr>
      <w:r>
        <w:rPr>
          <w:sz w:val="28"/>
        </w:rPr>
        <w:t xml:space="preserve">              -Trésorerie               </w:t>
      </w:r>
      <w:r w:rsidR="00E21FA0">
        <w:rPr>
          <w:sz w:val="28"/>
        </w:rPr>
        <w:t xml:space="preserve">                                           </w:t>
      </w:r>
      <w:r>
        <w:rPr>
          <w:sz w:val="28"/>
        </w:rPr>
        <w:t xml:space="preserve">  </w:t>
      </w:r>
      <w:r w:rsidR="00906CFF">
        <w:rPr>
          <w:sz w:val="28"/>
        </w:rPr>
        <w:t>947</w:t>
      </w:r>
      <w:r>
        <w:rPr>
          <w:sz w:val="28"/>
        </w:rPr>
        <w:t>.</w:t>
      </w:r>
      <w:r w:rsidR="00906CFF">
        <w:rPr>
          <w:sz w:val="28"/>
        </w:rPr>
        <w:t>172</w:t>
      </w:r>
      <w:r>
        <w:rPr>
          <w:sz w:val="28"/>
        </w:rPr>
        <w:t>.</w:t>
      </w:r>
      <w:r w:rsidR="00906CFF">
        <w:rPr>
          <w:sz w:val="28"/>
        </w:rPr>
        <w:t>713</w:t>
      </w:r>
      <w:r>
        <w:rPr>
          <w:sz w:val="28"/>
        </w:rPr>
        <w:t>,</w:t>
      </w:r>
      <w:r w:rsidR="00906CFF">
        <w:rPr>
          <w:sz w:val="28"/>
        </w:rPr>
        <w:t>40</w:t>
      </w:r>
      <w:r w:rsidR="00E21FA0">
        <w:rPr>
          <w:sz w:val="28"/>
        </w:rPr>
        <w:t xml:space="preserve"> </w:t>
      </w:r>
      <w:r>
        <w:rPr>
          <w:sz w:val="28"/>
        </w:rPr>
        <w:t>DA</w:t>
      </w:r>
    </w:p>
    <w:p w:rsidR="0012073A" w:rsidRDefault="0012073A" w:rsidP="002E41DF">
      <w:pPr>
        <w:ind w:right="283"/>
        <w:jc w:val="both"/>
        <w:rPr>
          <w:sz w:val="28"/>
        </w:rPr>
      </w:pPr>
    </w:p>
    <w:p w:rsidR="002E41DF" w:rsidRDefault="002E41DF" w:rsidP="002E41DF">
      <w:pPr>
        <w:ind w:right="283"/>
        <w:jc w:val="both"/>
        <w:rPr>
          <w:sz w:val="28"/>
        </w:rPr>
      </w:pPr>
      <w:r>
        <w:rPr>
          <w:sz w:val="28"/>
        </w:rPr>
        <w:t>La fluctuation des créances et emplois assimilés a touché essentiellement les comptes ci-après :</w:t>
      </w:r>
    </w:p>
    <w:p w:rsidR="006670A4" w:rsidRDefault="006670A4" w:rsidP="002E41DF">
      <w:pPr>
        <w:ind w:right="283"/>
        <w:jc w:val="both"/>
        <w:rPr>
          <w:sz w:val="28"/>
        </w:rPr>
      </w:pPr>
    </w:p>
    <w:p w:rsidR="006670A4" w:rsidRDefault="006670A4" w:rsidP="002E41DF">
      <w:pPr>
        <w:ind w:right="283"/>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835"/>
        <w:gridCol w:w="2659"/>
      </w:tblGrid>
      <w:tr w:rsidR="002E41DF" w:rsidTr="00663A0C">
        <w:trPr>
          <w:trHeight w:val="328"/>
        </w:trPr>
        <w:tc>
          <w:tcPr>
            <w:tcW w:w="4219" w:type="dxa"/>
            <w:shd w:val="pct20" w:color="000000" w:fill="FFFFFF"/>
          </w:tcPr>
          <w:p w:rsidR="002E41DF" w:rsidRDefault="002E41DF" w:rsidP="00663A0C">
            <w:pPr>
              <w:ind w:right="283"/>
              <w:jc w:val="both"/>
              <w:rPr>
                <w:b/>
                <w:sz w:val="28"/>
              </w:rPr>
            </w:pPr>
            <w:r>
              <w:rPr>
                <w:b/>
                <w:sz w:val="28"/>
              </w:rPr>
              <w:t>DESIGNATION</w:t>
            </w:r>
          </w:p>
        </w:tc>
        <w:tc>
          <w:tcPr>
            <w:tcW w:w="2835" w:type="dxa"/>
            <w:shd w:val="pct20" w:color="000000" w:fill="FFFFFF"/>
          </w:tcPr>
          <w:p w:rsidR="002E41DF" w:rsidRDefault="002E41DF" w:rsidP="00663A0C">
            <w:pPr>
              <w:ind w:right="283"/>
              <w:jc w:val="both"/>
              <w:rPr>
                <w:b/>
                <w:sz w:val="28"/>
              </w:rPr>
            </w:pPr>
            <w:r>
              <w:rPr>
                <w:b/>
                <w:sz w:val="28"/>
              </w:rPr>
              <w:t>MONTANTS BRUTS</w:t>
            </w:r>
          </w:p>
        </w:tc>
        <w:tc>
          <w:tcPr>
            <w:tcW w:w="2659" w:type="dxa"/>
            <w:shd w:val="pct20" w:color="000000" w:fill="FFFFFF"/>
          </w:tcPr>
          <w:p w:rsidR="002E41DF" w:rsidRDefault="002E41DF" w:rsidP="00663A0C">
            <w:pPr>
              <w:ind w:right="283"/>
              <w:jc w:val="both"/>
              <w:rPr>
                <w:b/>
                <w:sz w:val="28"/>
              </w:rPr>
            </w:pPr>
            <w:r>
              <w:rPr>
                <w:b/>
                <w:sz w:val="28"/>
              </w:rPr>
              <w:t>ECARTS</w:t>
            </w:r>
          </w:p>
          <w:p w:rsidR="002E41DF" w:rsidRDefault="002E41DF" w:rsidP="00663A0C">
            <w:pPr>
              <w:ind w:right="283"/>
              <w:jc w:val="both"/>
              <w:rPr>
                <w:b/>
                <w:sz w:val="28"/>
              </w:rPr>
            </w:pPr>
            <w:r>
              <w:rPr>
                <w:b/>
                <w:sz w:val="28"/>
              </w:rPr>
              <w:t>EN %</w:t>
            </w:r>
          </w:p>
        </w:tc>
      </w:tr>
      <w:tr w:rsidR="002E41DF" w:rsidTr="00663A0C">
        <w:trPr>
          <w:trHeight w:val="328"/>
        </w:trPr>
        <w:tc>
          <w:tcPr>
            <w:tcW w:w="4219" w:type="dxa"/>
          </w:tcPr>
          <w:p w:rsidR="002E41DF" w:rsidRDefault="002E41DF" w:rsidP="00663A0C">
            <w:pPr>
              <w:ind w:right="283"/>
              <w:jc w:val="both"/>
              <w:rPr>
                <w:sz w:val="28"/>
              </w:rPr>
            </w:pPr>
            <w:r>
              <w:rPr>
                <w:sz w:val="28"/>
              </w:rPr>
              <w:t xml:space="preserve">Clients </w:t>
            </w:r>
          </w:p>
        </w:tc>
        <w:tc>
          <w:tcPr>
            <w:tcW w:w="2835" w:type="dxa"/>
          </w:tcPr>
          <w:p w:rsidR="002E41DF" w:rsidRPr="00813CB6" w:rsidRDefault="00E21FA0" w:rsidP="00906CFF">
            <w:pPr>
              <w:ind w:right="283"/>
              <w:rPr>
                <w:sz w:val="28"/>
              </w:rPr>
            </w:pPr>
            <w:r>
              <w:rPr>
                <w:sz w:val="28"/>
              </w:rPr>
              <w:t xml:space="preserve">      </w:t>
            </w:r>
            <w:r w:rsidR="003D7FEE">
              <w:rPr>
                <w:sz w:val="28"/>
              </w:rPr>
              <w:t>+</w:t>
            </w:r>
            <w:r w:rsidR="00906CFF">
              <w:rPr>
                <w:sz w:val="28"/>
              </w:rPr>
              <w:t>52</w:t>
            </w:r>
            <w:r w:rsidR="002E41DF">
              <w:rPr>
                <w:sz w:val="28"/>
              </w:rPr>
              <w:t>.</w:t>
            </w:r>
            <w:r w:rsidR="00906CFF">
              <w:rPr>
                <w:sz w:val="28"/>
              </w:rPr>
              <w:t>458</w:t>
            </w:r>
            <w:r w:rsidR="002E41DF">
              <w:rPr>
                <w:sz w:val="28"/>
              </w:rPr>
              <w:t>.</w:t>
            </w:r>
            <w:r w:rsidR="00906CFF">
              <w:rPr>
                <w:sz w:val="28"/>
              </w:rPr>
              <w:t>767</w:t>
            </w:r>
            <w:r w:rsidR="002E41DF">
              <w:rPr>
                <w:sz w:val="28"/>
              </w:rPr>
              <w:t>,</w:t>
            </w:r>
            <w:r w:rsidR="005D6181">
              <w:rPr>
                <w:sz w:val="28"/>
              </w:rPr>
              <w:t>2</w:t>
            </w:r>
            <w:r w:rsidR="00906CFF">
              <w:rPr>
                <w:sz w:val="28"/>
              </w:rPr>
              <w:t>2</w:t>
            </w:r>
          </w:p>
        </w:tc>
        <w:tc>
          <w:tcPr>
            <w:tcW w:w="2659" w:type="dxa"/>
          </w:tcPr>
          <w:p w:rsidR="002E41DF" w:rsidRPr="00813CB6" w:rsidRDefault="003D7FEE" w:rsidP="00B63AD9">
            <w:pPr>
              <w:ind w:right="283"/>
              <w:jc w:val="center"/>
              <w:rPr>
                <w:sz w:val="28"/>
              </w:rPr>
            </w:pPr>
            <w:r>
              <w:rPr>
                <w:sz w:val="28"/>
              </w:rPr>
              <w:t>+</w:t>
            </w:r>
            <w:r w:rsidR="00906CFF">
              <w:rPr>
                <w:sz w:val="28"/>
              </w:rPr>
              <w:t>9</w:t>
            </w:r>
            <w:r w:rsidR="002E41DF">
              <w:rPr>
                <w:sz w:val="28"/>
              </w:rPr>
              <w:t>,</w:t>
            </w:r>
            <w:r w:rsidR="00906CFF">
              <w:rPr>
                <w:sz w:val="28"/>
              </w:rPr>
              <w:t>9</w:t>
            </w:r>
          </w:p>
        </w:tc>
      </w:tr>
      <w:tr w:rsidR="002E41DF" w:rsidTr="00663A0C">
        <w:trPr>
          <w:trHeight w:val="328"/>
        </w:trPr>
        <w:tc>
          <w:tcPr>
            <w:tcW w:w="4219" w:type="dxa"/>
          </w:tcPr>
          <w:p w:rsidR="002E41DF" w:rsidRDefault="002E41DF" w:rsidP="00663A0C">
            <w:pPr>
              <w:ind w:right="283"/>
              <w:jc w:val="both"/>
              <w:rPr>
                <w:sz w:val="28"/>
              </w:rPr>
            </w:pPr>
            <w:r>
              <w:rPr>
                <w:sz w:val="28"/>
              </w:rPr>
              <w:t>Autres Débiteurs</w:t>
            </w:r>
          </w:p>
        </w:tc>
        <w:tc>
          <w:tcPr>
            <w:tcW w:w="2835" w:type="dxa"/>
          </w:tcPr>
          <w:p w:rsidR="002E41DF" w:rsidRDefault="00906CFF" w:rsidP="00906CFF">
            <w:pPr>
              <w:ind w:right="283"/>
              <w:rPr>
                <w:sz w:val="28"/>
              </w:rPr>
            </w:pPr>
            <w:r>
              <w:rPr>
                <w:sz w:val="28"/>
              </w:rPr>
              <w:t xml:space="preserve"> </w:t>
            </w:r>
            <w:r w:rsidR="00E21FA0">
              <w:rPr>
                <w:sz w:val="28"/>
              </w:rPr>
              <w:t xml:space="preserve"> </w:t>
            </w:r>
            <w:r>
              <w:rPr>
                <w:sz w:val="28"/>
              </w:rPr>
              <w:t xml:space="preserve">  -538</w:t>
            </w:r>
            <w:r w:rsidR="002E41DF">
              <w:rPr>
                <w:sz w:val="28"/>
              </w:rPr>
              <w:t>.</w:t>
            </w:r>
            <w:r>
              <w:rPr>
                <w:sz w:val="28"/>
              </w:rPr>
              <w:t>179</w:t>
            </w:r>
            <w:r w:rsidR="002E41DF">
              <w:rPr>
                <w:sz w:val="28"/>
              </w:rPr>
              <w:t>.</w:t>
            </w:r>
            <w:r>
              <w:rPr>
                <w:sz w:val="28"/>
              </w:rPr>
              <w:t>514</w:t>
            </w:r>
            <w:r w:rsidR="002E41DF">
              <w:rPr>
                <w:sz w:val="28"/>
              </w:rPr>
              <w:t>,</w:t>
            </w:r>
            <w:r>
              <w:rPr>
                <w:sz w:val="28"/>
              </w:rPr>
              <w:t>02</w:t>
            </w:r>
          </w:p>
        </w:tc>
        <w:tc>
          <w:tcPr>
            <w:tcW w:w="2659" w:type="dxa"/>
          </w:tcPr>
          <w:p w:rsidR="002E41DF" w:rsidRDefault="00906CFF" w:rsidP="00906CFF">
            <w:pPr>
              <w:ind w:right="283"/>
              <w:jc w:val="center"/>
              <w:rPr>
                <w:sz w:val="28"/>
              </w:rPr>
            </w:pPr>
            <w:r>
              <w:rPr>
                <w:sz w:val="28"/>
              </w:rPr>
              <w:t>-81</w:t>
            </w:r>
            <w:r w:rsidR="002E41DF">
              <w:rPr>
                <w:sz w:val="28"/>
              </w:rPr>
              <w:t>,</w:t>
            </w:r>
            <w:r>
              <w:rPr>
                <w:sz w:val="28"/>
              </w:rPr>
              <w:t>1</w:t>
            </w:r>
          </w:p>
        </w:tc>
      </w:tr>
      <w:tr w:rsidR="002E41DF" w:rsidTr="00663A0C">
        <w:trPr>
          <w:trHeight w:val="328"/>
        </w:trPr>
        <w:tc>
          <w:tcPr>
            <w:tcW w:w="4219" w:type="dxa"/>
          </w:tcPr>
          <w:p w:rsidR="002E41DF" w:rsidRDefault="002E41DF" w:rsidP="00663A0C">
            <w:pPr>
              <w:ind w:right="283"/>
              <w:jc w:val="both"/>
              <w:rPr>
                <w:sz w:val="28"/>
              </w:rPr>
            </w:pPr>
            <w:r>
              <w:rPr>
                <w:sz w:val="28"/>
              </w:rPr>
              <w:t xml:space="preserve">Impôts et assimilés </w:t>
            </w:r>
          </w:p>
        </w:tc>
        <w:tc>
          <w:tcPr>
            <w:tcW w:w="2835" w:type="dxa"/>
          </w:tcPr>
          <w:p w:rsidR="002E41DF" w:rsidRPr="00813CB6" w:rsidRDefault="00906CFF" w:rsidP="00906CFF">
            <w:pPr>
              <w:ind w:right="283"/>
              <w:jc w:val="center"/>
              <w:rPr>
                <w:sz w:val="28"/>
              </w:rPr>
            </w:pPr>
            <w:r>
              <w:rPr>
                <w:sz w:val="28"/>
              </w:rPr>
              <w:t xml:space="preserve"> </w:t>
            </w:r>
            <w:r w:rsidR="00E21FA0">
              <w:rPr>
                <w:sz w:val="28"/>
              </w:rPr>
              <w:t xml:space="preserve">      </w:t>
            </w:r>
            <w:r>
              <w:rPr>
                <w:sz w:val="28"/>
              </w:rPr>
              <w:t>-395</w:t>
            </w:r>
            <w:r w:rsidR="002E41DF" w:rsidRPr="00813CB6">
              <w:rPr>
                <w:sz w:val="28"/>
              </w:rPr>
              <w:t>.</w:t>
            </w:r>
            <w:r>
              <w:rPr>
                <w:sz w:val="28"/>
              </w:rPr>
              <w:t>085</w:t>
            </w:r>
            <w:r w:rsidR="002E41DF" w:rsidRPr="00813CB6">
              <w:rPr>
                <w:sz w:val="28"/>
              </w:rPr>
              <w:t>,</w:t>
            </w:r>
            <w:r>
              <w:rPr>
                <w:sz w:val="28"/>
              </w:rPr>
              <w:t>20</w:t>
            </w:r>
          </w:p>
        </w:tc>
        <w:tc>
          <w:tcPr>
            <w:tcW w:w="2659" w:type="dxa"/>
          </w:tcPr>
          <w:p w:rsidR="002E41DF" w:rsidRPr="00813CB6" w:rsidRDefault="00906CFF" w:rsidP="00257AFB">
            <w:pPr>
              <w:ind w:right="283"/>
              <w:jc w:val="center"/>
              <w:rPr>
                <w:sz w:val="28"/>
              </w:rPr>
            </w:pPr>
            <w:r>
              <w:rPr>
                <w:sz w:val="28"/>
              </w:rPr>
              <w:t>-0</w:t>
            </w:r>
            <w:r w:rsidR="002E41DF" w:rsidRPr="00813CB6">
              <w:rPr>
                <w:sz w:val="28"/>
              </w:rPr>
              <w:t>,</w:t>
            </w:r>
            <w:r>
              <w:rPr>
                <w:sz w:val="28"/>
              </w:rPr>
              <w:t>2</w:t>
            </w:r>
          </w:p>
        </w:tc>
      </w:tr>
      <w:tr w:rsidR="00B0076A" w:rsidTr="00663A0C">
        <w:trPr>
          <w:trHeight w:val="328"/>
        </w:trPr>
        <w:tc>
          <w:tcPr>
            <w:tcW w:w="4219" w:type="dxa"/>
          </w:tcPr>
          <w:p w:rsidR="00B0076A" w:rsidRDefault="00B0076A" w:rsidP="00663A0C">
            <w:pPr>
              <w:ind w:right="283"/>
              <w:jc w:val="both"/>
              <w:rPr>
                <w:sz w:val="28"/>
              </w:rPr>
            </w:pPr>
            <w:r>
              <w:rPr>
                <w:sz w:val="28"/>
              </w:rPr>
              <w:t>Autres actifs courants</w:t>
            </w:r>
          </w:p>
        </w:tc>
        <w:tc>
          <w:tcPr>
            <w:tcW w:w="2835" w:type="dxa"/>
          </w:tcPr>
          <w:p w:rsidR="00B0076A" w:rsidRDefault="00653F9D" w:rsidP="00653F9D">
            <w:pPr>
              <w:ind w:right="283"/>
              <w:rPr>
                <w:sz w:val="28"/>
              </w:rPr>
            </w:pPr>
            <w:r>
              <w:rPr>
                <w:sz w:val="28"/>
              </w:rPr>
              <w:t xml:space="preserve">                 -</w:t>
            </w:r>
          </w:p>
        </w:tc>
        <w:tc>
          <w:tcPr>
            <w:tcW w:w="2659" w:type="dxa"/>
          </w:tcPr>
          <w:p w:rsidR="00B0076A" w:rsidRDefault="00B0076A" w:rsidP="00653F9D">
            <w:pPr>
              <w:ind w:right="283"/>
              <w:jc w:val="center"/>
              <w:rPr>
                <w:sz w:val="28"/>
              </w:rPr>
            </w:pPr>
            <w:r>
              <w:rPr>
                <w:sz w:val="28"/>
              </w:rPr>
              <w:t>-</w:t>
            </w:r>
          </w:p>
        </w:tc>
      </w:tr>
      <w:tr w:rsidR="002E41DF" w:rsidTr="00663A0C">
        <w:trPr>
          <w:trHeight w:val="328"/>
        </w:trPr>
        <w:tc>
          <w:tcPr>
            <w:tcW w:w="4219" w:type="dxa"/>
          </w:tcPr>
          <w:p w:rsidR="002E41DF" w:rsidRDefault="002E41DF" w:rsidP="00663A0C">
            <w:pPr>
              <w:ind w:right="283"/>
              <w:jc w:val="both"/>
              <w:rPr>
                <w:sz w:val="28"/>
              </w:rPr>
            </w:pPr>
            <w:r>
              <w:rPr>
                <w:sz w:val="28"/>
              </w:rPr>
              <w:t xml:space="preserve">Trésorerie </w:t>
            </w:r>
          </w:p>
        </w:tc>
        <w:tc>
          <w:tcPr>
            <w:tcW w:w="2835" w:type="dxa"/>
          </w:tcPr>
          <w:p w:rsidR="002E41DF" w:rsidRPr="00813CB6" w:rsidRDefault="00E21FA0" w:rsidP="00906CFF">
            <w:pPr>
              <w:ind w:right="283"/>
              <w:rPr>
                <w:sz w:val="28"/>
              </w:rPr>
            </w:pPr>
            <w:r>
              <w:rPr>
                <w:sz w:val="28"/>
              </w:rPr>
              <w:t xml:space="preserve">     </w:t>
            </w:r>
            <w:r w:rsidR="004A473A">
              <w:rPr>
                <w:sz w:val="28"/>
              </w:rPr>
              <w:t>+</w:t>
            </w:r>
            <w:r w:rsidR="00906CFF">
              <w:rPr>
                <w:sz w:val="28"/>
              </w:rPr>
              <w:t>67</w:t>
            </w:r>
            <w:r w:rsidR="002E41DF" w:rsidRPr="00813CB6">
              <w:rPr>
                <w:sz w:val="28"/>
              </w:rPr>
              <w:t>.</w:t>
            </w:r>
            <w:r w:rsidR="00906CFF">
              <w:rPr>
                <w:sz w:val="28"/>
              </w:rPr>
              <w:t>256</w:t>
            </w:r>
            <w:r w:rsidR="002E41DF" w:rsidRPr="00813CB6">
              <w:rPr>
                <w:sz w:val="28"/>
              </w:rPr>
              <w:t>.</w:t>
            </w:r>
            <w:r w:rsidR="00906CFF">
              <w:rPr>
                <w:sz w:val="28"/>
              </w:rPr>
              <w:t>346</w:t>
            </w:r>
            <w:r w:rsidR="002E41DF" w:rsidRPr="00813CB6">
              <w:rPr>
                <w:sz w:val="28"/>
              </w:rPr>
              <w:t>,</w:t>
            </w:r>
            <w:r w:rsidR="00906CFF">
              <w:rPr>
                <w:sz w:val="28"/>
              </w:rPr>
              <w:t>46</w:t>
            </w:r>
          </w:p>
        </w:tc>
        <w:tc>
          <w:tcPr>
            <w:tcW w:w="2659" w:type="dxa"/>
          </w:tcPr>
          <w:p w:rsidR="002E41DF" w:rsidRPr="00813CB6" w:rsidRDefault="004A473A" w:rsidP="00257AFB">
            <w:pPr>
              <w:ind w:right="283"/>
              <w:jc w:val="center"/>
              <w:rPr>
                <w:sz w:val="28"/>
              </w:rPr>
            </w:pPr>
            <w:r>
              <w:rPr>
                <w:sz w:val="28"/>
              </w:rPr>
              <w:t>+</w:t>
            </w:r>
            <w:r w:rsidR="00E86D73">
              <w:rPr>
                <w:sz w:val="28"/>
              </w:rPr>
              <w:t>7</w:t>
            </w:r>
            <w:r w:rsidR="002E41DF">
              <w:rPr>
                <w:sz w:val="28"/>
              </w:rPr>
              <w:t>,</w:t>
            </w:r>
            <w:r w:rsidR="00E86D73">
              <w:rPr>
                <w:sz w:val="28"/>
              </w:rPr>
              <w:t>6</w:t>
            </w:r>
          </w:p>
        </w:tc>
      </w:tr>
      <w:tr w:rsidR="002E41DF" w:rsidTr="00663A0C">
        <w:trPr>
          <w:trHeight w:val="328"/>
        </w:trPr>
        <w:tc>
          <w:tcPr>
            <w:tcW w:w="4219" w:type="dxa"/>
            <w:tcBorders>
              <w:bottom w:val="single" w:sz="4" w:space="0" w:color="auto"/>
            </w:tcBorders>
            <w:shd w:val="pct20" w:color="000000" w:fill="FFFFFF"/>
          </w:tcPr>
          <w:p w:rsidR="002E41DF" w:rsidRDefault="002E41DF" w:rsidP="00663A0C">
            <w:pPr>
              <w:ind w:right="283"/>
              <w:jc w:val="both"/>
              <w:rPr>
                <w:sz w:val="28"/>
              </w:rPr>
            </w:pPr>
            <w:r>
              <w:rPr>
                <w:sz w:val="28"/>
              </w:rPr>
              <w:t>TOTAL</w:t>
            </w:r>
          </w:p>
        </w:tc>
        <w:tc>
          <w:tcPr>
            <w:tcW w:w="2835" w:type="dxa"/>
            <w:tcBorders>
              <w:bottom w:val="single" w:sz="4" w:space="0" w:color="auto"/>
            </w:tcBorders>
            <w:shd w:val="pct20" w:color="000000" w:fill="FFFFFF"/>
          </w:tcPr>
          <w:p w:rsidR="002E41DF" w:rsidRPr="00471FFE" w:rsidRDefault="00906CFF" w:rsidP="00906CFF">
            <w:pPr>
              <w:ind w:right="283"/>
              <w:rPr>
                <w:b/>
                <w:bCs/>
                <w:sz w:val="28"/>
              </w:rPr>
            </w:pPr>
            <w:r>
              <w:rPr>
                <w:b/>
                <w:bCs/>
                <w:sz w:val="28"/>
              </w:rPr>
              <w:t xml:space="preserve">    -418</w:t>
            </w:r>
            <w:r w:rsidR="004A473A">
              <w:rPr>
                <w:b/>
                <w:bCs/>
                <w:sz w:val="28"/>
              </w:rPr>
              <w:t>.</w:t>
            </w:r>
            <w:r>
              <w:rPr>
                <w:b/>
                <w:bCs/>
                <w:sz w:val="28"/>
              </w:rPr>
              <w:t>859</w:t>
            </w:r>
            <w:r w:rsidR="002E41DF" w:rsidRPr="00471FFE">
              <w:rPr>
                <w:b/>
                <w:bCs/>
                <w:sz w:val="28"/>
              </w:rPr>
              <w:t>.</w:t>
            </w:r>
            <w:r>
              <w:rPr>
                <w:b/>
                <w:bCs/>
                <w:sz w:val="28"/>
              </w:rPr>
              <w:t>485</w:t>
            </w:r>
            <w:r w:rsidR="002E41DF" w:rsidRPr="00471FFE">
              <w:rPr>
                <w:b/>
                <w:bCs/>
                <w:sz w:val="28"/>
              </w:rPr>
              <w:t>,</w:t>
            </w:r>
            <w:r>
              <w:rPr>
                <w:b/>
                <w:bCs/>
                <w:sz w:val="28"/>
              </w:rPr>
              <w:t>54</w:t>
            </w:r>
          </w:p>
        </w:tc>
        <w:tc>
          <w:tcPr>
            <w:tcW w:w="2659" w:type="dxa"/>
            <w:tcBorders>
              <w:bottom w:val="single" w:sz="4" w:space="0" w:color="auto"/>
            </w:tcBorders>
            <w:shd w:val="pct20" w:color="000000" w:fill="FFFFFF"/>
          </w:tcPr>
          <w:p w:rsidR="002E41DF" w:rsidRPr="00813CB6" w:rsidRDefault="00906CFF" w:rsidP="00906CFF">
            <w:pPr>
              <w:ind w:right="283"/>
              <w:jc w:val="right"/>
              <w:rPr>
                <w:b/>
                <w:bCs/>
                <w:sz w:val="28"/>
              </w:rPr>
            </w:pPr>
            <w:r>
              <w:rPr>
                <w:b/>
                <w:bCs/>
                <w:sz w:val="28"/>
              </w:rPr>
              <w:t>-18</w:t>
            </w:r>
            <w:r w:rsidR="002E41DF" w:rsidRPr="00813CB6">
              <w:rPr>
                <w:b/>
                <w:bCs/>
                <w:sz w:val="28"/>
              </w:rPr>
              <w:t>,</w:t>
            </w:r>
            <w:r>
              <w:rPr>
                <w:b/>
                <w:bCs/>
                <w:sz w:val="28"/>
              </w:rPr>
              <w:t>2</w:t>
            </w:r>
          </w:p>
        </w:tc>
      </w:tr>
    </w:tbl>
    <w:p w:rsidR="002E41DF" w:rsidRDefault="002E41DF" w:rsidP="002E41DF">
      <w:pPr>
        <w:pStyle w:val="Corpsdetexte2"/>
        <w:ind w:right="283"/>
        <w:rPr>
          <w:b/>
          <w:u w:val="single"/>
        </w:rPr>
      </w:pPr>
    </w:p>
    <w:p w:rsidR="002E41DF" w:rsidRDefault="002E41DF" w:rsidP="002E41DF">
      <w:pPr>
        <w:ind w:right="283"/>
        <w:jc w:val="both"/>
        <w:rPr>
          <w:sz w:val="28"/>
        </w:rPr>
      </w:pPr>
      <w:r>
        <w:rPr>
          <w:sz w:val="28"/>
        </w:rPr>
        <w:t>Les fluctuations les plus significatives portent sur quatre (04) comptes principaux, à savoir :</w:t>
      </w:r>
    </w:p>
    <w:p w:rsidR="002E41DF" w:rsidRDefault="002E41DF" w:rsidP="002E41DF">
      <w:pPr>
        <w:pStyle w:val="Corpsdetexte2"/>
        <w:ind w:right="283"/>
        <w:rPr>
          <w:b/>
          <w:u w:val="single"/>
        </w:rPr>
      </w:pPr>
    </w:p>
    <w:p w:rsidR="002E41DF" w:rsidRDefault="00992E54" w:rsidP="002E41DF">
      <w:pPr>
        <w:pStyle w:val="Corpsdetexte2"/>
        <w:ind w:right="283"/>
        <w:rPr>
          <w:b/>
          <w:u w:val="single"/>
        </w:rPr>
      </w:pPr>
      <w:r>
        <w:rPr>
          <w:b/>
          <w:color w:val="008000"/>
        </w:rPr>
        <w:t>UN</w:t>
      </w:r>
      <w:r>
        <w:rPr>
          <w:b/>
          <w:u w:val="single"/>
        </w:rPr>
        <w:t xml:space="preserve"> - Clients</w:t>
      </w:r>
      <w:r w:rsidR="002E41DF">
        <w:rPr>
          <w:b/>
          <w:u w:val="single"/>
        </w:rPr>
        <w:t xml:space="preserve"> et assimilés:</w:t>
      </w:r>
    </w:p>
    <w:p w:rsidR="002E41DF" w:rsidRDefault="002E41DF" w:rsidP="002E41DF">
      <w:pPr>
        <w:pStyle w:val="Corpsdetexte2"/>
        <w:ind w:right="283"/>
      </w:pPr>
    </w:p>
    <w:p w:rsidR="005B21CD" w:rsidRDefault="002E41DF" w:rsidP="00B314AB">
      <w:pPr>
        <w:pStyle w:val="Corpsdetexte2"/>
        <w:ind w:right="283"/>
        <w:jc w:val="both"/>
      </w:pPr>
      <w:r>
        <w:t xml:space="preserve">Le portefeuille clients </w:t>
      </w:r>
      <w:r w:rsidR="00B314AB">
        <w:t xml:space="preserve"> d’un montant global de 582,6</w:t>
      </w:r>
      <w:r w:rsidR="00CF5856">
        <w:t xml:space="preserve"> Millions de DA, dont</w:t>
      </w:r>
      <w:r w:rsidR="00B314AB">
        <w:t xml:space="preserve"> principalement 292,8 </w:t>
      </w:r>
      <w:r w:rsidR="00FD40D8">
        <w:t xml:space="preserve">Millions de DA concerne </w:t>
      </w:r>
      <w:r>
        <w:t>l’unité hôtelière EL-</w:t>
      </w:r>
      <w:proofErr w:type="spellStart"/>
      <w:r w:rsidR="00831167">
        <w:t>Auras</w:t>
      </w:r>
      <w:r w:rsidR="00B314AB">
        <w:t>si</w:t>
      </w:r>
      <w:proofErr w:type="spellEnd"/>
      <w:r w:rsidR="00B314AB">
        <w:t xml:space="preserve"> et 177,7</w:t>
      </w:r>
      <w:r w:rsidR="00FD40D8">
        <w:t xml:space="preserve"> Millions de DA, </w:t>
      </w:r>
      <w:r w:rsidR="00AC2AC2">
        <w:t xml:space="preserve"> l’unité </w:t>
      </w:r>
      <w:proofErr w:type="spellStart"/>
      <w:r w:rsidR="00AC2AC2">
        <w:t>Rym</w:t>
      </w:r>
      <w:proofErr w:type="spellEnd"/>
      <w:r w:rsidR="00AC2AC2">
        <w:t xml:space="preserve"> de</w:t>
      </w:r>
      <w:r w:rsidR="00B314AB">
        <w:t xml:space="preserve"> béni Abbés, l’ensemble, soit 80,9</w:t>
      </w:r>
      <w:r w:rsidR="00AC2AC2">
        <w:t xml:space="preserve">% du volume global des créances  </w:t>
      </w:r>
      <w:r w:rsidR="00B0076A">
        <w:t xml:space="preserve">requiert </w:t>
      </w:r>
      <w:r>
        <w:t xml:space="preserve">une attention toute </w:t>
      </w:r>
      <w:r w:rsidR="002C03F1">
        <w:t>particulière, sachant qu’une</w:t>
      </w:r>
      <w:r>
        <w:t xml:space="preserve"> part </w:t>
      </w:r>
      <w:r w:rsidR="00B0076A">
        <w:t>important</w:t>
      </w:r>
      <w:r w:rsidR="00B36990">
        <w:t>e</w:t>
      </w:r>
      <w:r w:rsidR="00AD71B4">
        <w:t xml:space="preserve"> du volume de ces </w:t>
      </w:r>
      <w:r>
        <w:t xml:space="preserve"> cr</w:t>
      </w:r>
      <w:r w:rsidR="00C50307">
        <w:t>é</w:t>
      </w:r>
      <w:r w:rsidR="002C03F1">
        <w:t>ances à l’échelle de la chaine est détenue sur les institutions de l’Etat et ses démembrements.</w:t>
      </w:r>
    </w:p>
    <w:p w:rsidR="00B314AB" w:rsidRDefault="00B314AB" w:rsidP="00B314AB">
      <w:pPr>
        <w:pStyle w:val="Corpsdetexte2"/>
        <w:ind w:right="283"/>
        <w:jc w:val="both"/>
      </w:pPr>
    </w:p>
    <w:p w:rsidR="00B314AB" w:rsidRDefault="00B314AB" w:rsidP="00B314AB">
      <w:pPr>
        <w:pStyle w:val="Corpsdetexte2"/>
        <w:ind w:right="283"/>
        <w:jc w:val="both"/>
      </w:pPr>
      <w:r>
        <w:t xml:space="preserve">Ce portefeuille client recouvre des pertes de valeurs d’un montant de 122,7 Millions de DA correspondant à 21,1% du volume global </w:t>
      </w:r>
      <w:r w:rsidR="008672B5">
        <w:t xml:space="preserve">des créances, dont certaines </w:t>
      </w:r>
      <w:r w:rsidR="004B3241">
        <w:t>créances remontent</w:t>
      </w:r>
      <w:r w:rsidR="008672B5">
        <w:t xml:space="preserve">  à plusieurs exercices, il s’agit notamment des débiteurs hôtels  totalisant un montant de 15,8 Millions de DA , objets de remarques et d’observations du commissaire aux comptes , non prises en charge au titre de ce semestre et qu’il convient d’assainir cette fin d’exercice. </w:t>
      </w:r>
    </w:p>
    <w:p w:rsidR="00AC2AC2" w:rsidRDefault="00AC2AC2" w:rsidP="00AC2AC2">
      <w:pPr>
        <w:pStyle w:val="Corpsdetexte2"/>
        <w:ind w:right="283"/>
        <w:jc w:val="both"/>
      </w:pPr>
    </w:p>
    <w:p w:rsidR="00257AFB" w:rsidRDefault="00B314AB" w:rsidP="008672B5">
      <w:pPr>
        <w:pStyle w:val="Corpsdetexte2"/>
        <w:ind w:right="283"/>
        <w:jc w:val="both"/>
      </w:pPr>
      <w:r>
        <w:t>Il</w:t>
      </w:r>
      <w:r w:rsidR="002E41DF">
        <w:t xml:space="preserve"> accuse  globalement à fin </w:t>
      </w:r>
      <w:r>
        <w:t>juin 2022</w:t>
      </w:r>
      <w:r w:rsidR="007B7732">
        <w:t xml:space="preserve"> une </w:t>
      </w:r>
      <w:r w:rsidR="002C03F1">
        <w:t xml:space="preserve">hausse </w:t>
      </w:r>
      <w:r w:rsidR="007B7732">
        <w:t>de</w:t>
      </w:r>
      <w:r w:rsidR="008D6327">
        <w:t xml:space="preserve"> son volume</w:t>
      </w:r>
      <w:r>
        <w:t xml:space="preserve"> de l’ordre de 9,9%, </w:t>
      </w:r>
      <w:r w:rsidR="002C03F1">
        <w:t xml:space="preserve"> en relation </w:t>
      </w:r>
      <w:r w:rsidR="004B3241">
        <w:t xml:space="preserve">avec l’évolution de l’activité mais également </w:t>
      </w:r>
      <w:r w:rsidR="002C03F1">
        <w:t>avec les di</w:t>
      </w:r>
      <w:r>
        <w:t xml:space="preserve">fficultés </w:t>
      </w:r>
    </w:p>
    <w:p w:rsidR="00257AFB" w:rsidRDefault="00257AFB" w:rsidP="008672B5">
      <w:pPr>
        <w:pStyle w:val="Corpsdetexte2"/>
        <w:ind w:right="283"/>
        <w:jc w:val="both"/>
      </w:pPr>
    </w:p>
    <w:p w:rsidR="00257AFB" w:rsidRDefault="00257AFB" w:rsidP="008672B5">
      <w:pPr>
        <w:pStyle w:val="Corpsdetexte2"/>
        <w:ind w:right="283"/>
        <w:jc w:val="both"/>
      </w:pPr>
    </w:p>
    <w:p w:rsidR="00257AFB" w:rsidRDefault="00257AFB" w:rsidP="008672B5">
      <w:pPr>
        <w:pStyle w:val="Corpsdetexte2"/>
        <w:ind w:right="283"/>
        <w:jc w:val="both"/>
      </w:pPr>
    </w:p>
    <w:p w:rsidR="00FD40D8" w:rsidRDefault="00257AFB" w:rsidP="008672B5">
      <w:pPr>
        <w:pStyle w:val="Corpsdetexte2"/>
        <w:ind w:right="283"/>
        <w:jc w:val="both"/>
      </w:pPr>
      <w:r>
        <w:lastRenderedPageBreak/>
        <w:t>Rencontrées</w:t>
      </w:r>
      <w:r w:rsidR="008672B5">
        <w:t xml:space="preserve">, notamment </w:t>
      </w:r>
      <w:r w:rsidR="00B314AB">
        <w:t xml:space="preserve">auprès de certaines </w:t>
      </w:r>
      <w:r w:rsidR="002C03F1">
        <w:t xml:space="preserve"> institutions de l’Etat   pour le rec</w:t>
      </w:r>
      <w:r w:rsidR="00FD40D8">
        <w:t>ouvrement de ces créances</w:t>
      </w:r>
      <w:r w:rsidR="008672B5">
        <w:t>.</w:t>
      </w:r>
    </w:p>
    <w:p w:rsidR="00FD40D8" w:rsidRDefault="00FD40D8" w:rsidP="002E41DF">
      <w:pPr>
        <w:pStyle w:val="Corpsdetexte2"/>
        <w:ind w:right="283"/>
      </w:pPr>
    </w:p>
    <w:p w:rsidR="002E41DF" w:rsidRDefault="002E41DF" w:rsidP="002E41DF">
      <w:pPr>
        <w:pStyle w:val="Corpsdetexte2"/>
        <w:ind w:right="283"/>
        <w:rPr>
          <w:b/>
          <w:u w:val="single"/>
        </w:rPr>
      </w:pPr>
      <w:r>
        <w:rPr>
          <w:b/>
          <w:color w:val="008000"/>
        </w:rPr>
        <w:t>DEUX</w:t>
      </w:r>
      <w:r>
        <w:rPr>
          <w:b/>
          <w:u w:val="single"/>
        </w:rPr>
        <w:t>-  Autres débiteurs :</w:t>
      </w:r>
    </w:p>
    <w:p w:rsidR="002E41DF" w:rsidRDefault="002E41DF" w:rsidP="002E41DF">
      <w:pPr>
        <w:ind w:right="283"/>
        <w:jc w:val="both"/>
        <w:rPr>
          <w:sz w:val="28"/>
          <w:szCs w:val="28"/>
        </w:rPr>
      </w:pPr>
    </w:p>
    <w:p w:rsidR="0012073A" w:rsidRPr="00405295" w:rsidRDefault="00650AAD" w:rsidP="00405295">
      <w:pPr>
        <w:ind w:right="283"/>
        <w:jc w:val="both"/>
        <w:rPr>
          <w:sz w:val="28"/>
          <w:szCs w:val="28"/>
        </w:rPr>
      </w:pPr>
      <w:r>
        <w:rPr>
          <w:sz w:val="28"/>
          <w:szCs w:val="28"/>
        </w:rPr>
        <w:t xml:space="preserve">Ce poste </w:t>
      </w:r>
      <w:r w:rsidR="008672B5">
        <w:rPr>
          <w:sz w:val="28"/>
          <w:szCs w:val="28"/>
        </w:rPr>
        <w:t xml:space="preserve">enregistre une  forte </w:t>
      </w:r>
      <w:r w:rsidR="006B52CC">
        <w:rPr>
          <w:sz w:val="28"/>
          <w:szCs w:val="28"/>
        </w:rPr>
        <w:t>fluctuation,</w:t>
      </w:r>
      <w:r w:rsidR="008672B5">
        <w:rPr>
          <w:sz w:val="28"/>
          <w:szCs w:val="28"/>
        </w:rPr>
        <w:t xml:space="preserve"> elle est de l’ordre de 81,1</w:t>
      </w:r>
      <w:r w:rsidR="006B52CC">
        <w:rPr>
          <w:sz w:val="28"/>
          <w:szCs w:val="28"/>
        </w:rPr>
        <w:t xml:space="preserve">%. </w:t>
      </w:r>
      <w:r w:rsidR="008672B5">
        <w:rPr>
          <w:sz w:val="28"/>
          <w:szCs w:val="28"/>
        </w:rPr>
        <w:t xml:space="preserve">Il </w:t>
      </w:r>
      <w:r>
        <w:rPr>
          <w:sz w:val="28"/>
          <w:szCs w:val="28"/>
        </w:rPr>
        <w:t>recouvre</w:t>
      </w:r>
      <w:r w:rsidR="00405295">
        <w:rPr>
          <w:sz w:val="28"/>
          <w:szCs w:val="28"/>
        </w:rPr>
        <w:t xml:space="preserve"> pour l’essentiel , </w:t>
      </w:r>
      <w:r w:rsidR="00AD71B4">
        <w:rPr>
          <w:sz w:val="28"/>
          <w:szCs w:val="28"/>
        </w:rPr>
        <w:t xml:space="preserve"> le </w:t>
      </w:r>
      <w:r w:rsidR="002E41DF">
        <w:rPr>
          <w:sz w:val="28"/>
          <w:szCs w:val="28"/>
        </w:rPr>
        <w:t>solde du compte couran</w:t>
      </w:r>
      <w:r w:rsidR="00405295">
        <w:rPr>
          <w:sz w:val="28"/>
          <w:szCs w:val="28"/>
        </w:rPr>
        <w:t>t associés d’un montant de 40 Millions de DA , suivi par d’autres opérations d’un montant de 51,8 Millions de DA , en relation avec les travaux de réhabilitation et de modernisation des hôtels relevant de la filiale, , opérations en cours d’assainissement.</w:t>
      </w:r>
    </w:p>
    <w:p w:rsidR="00405295" w:rsidRDefault="00405295" w:rsidP="00471AB7">
      <w:pPr>
        <w:pStyle w:val="Retraitcorpsdetexte"/>
        <w:ind w:left="0" w:right="283"/>
      </w:pPr>
    </w:p>
    <w:p w:rsidR="002E41DF" w:rsidRDefault="002E41DF" w:rsidP="002E41DF">
      <w:pPr>
        <w:pStyle w:val="Retraitcorpsdetexte"/>
        <w:ind w:left="0" w:right="283"/>
        <w:jc w:val="left"/>
        <w:rPr>
          <w:b/>
          <w:u w:val="single"/>
        </w:rPr>
      </w:pPr>
      <w:r>
        <w:rPr>
          <w:b/>
          <w:color w:val="008000"/>
        </w:rPr>
        <w:t>TROIS</w:t>
      </w:r>
      <w:r w:rsidRPr="00257AFB">
        <w:rPr>
          <w:b/>
        </w:rPr>
        <w:t>-</w:t>
      </w:r>
      <w:r>
        <w:rPr>
          <w:b/>
          <w:u w:val="single"/>
        </w:rPr>
        <w:t xml:space="preserve">  Impôts et assimilés:</w:t>
      </w:r>
    </w:p>
    <w:p w:rsidR="002E41DF" w:rsidRDefault="002E41DF" w:rsidP="002E41DF">
      <w:pPr>
        <w:pStyle w:val="Retraitcorpsdetexte"/>
        <w:ind w:right="283"/>
        <w:jc w:val="left"/>
        <w:rPr>
          <w:b/>
          <w:u w:val="single"/>
        </w:rPr>
      </w:pPr>
    </w:p>
    <w:p w:rsidR="002E41DF" w:rsidRDefault="002E41DF" w:rsidP="00405295">
      <w:pPr>
        <w:pStyle w:val="Retraitcorpsdetexte"/>
        <w:ind w:left="0" w:right="283"/>
      </w:pPr>
      <w:r>
        <w:t>Il</w:t>
      </w:r>
      <w:r w:rsidR="007D55B9">
        <w:t>s</w:t>
      </w:r>
      <w:r>
        <w:t xml:space="preserve"> représente</w:t>
      </w:r>
      <w:r w:rsidR="007D55B9">
        <w:t xml:space="preserve">nt </w:t>
      </w:r>
      <w:r>
        <w:t xml:space="preserve">  principalement les acomptes provisionnels en matière d’impôts</w:t>
      </w:r>
      <w:r w:rsidR="006B52CC">
        <w:t xml:space="preserve"> sur les bénéfices des sociétés, pour lesquels et conformément à la réglementation en </w:t>
      </w:r>
      <w:r w:rsidR="00405295">
        <w:t xml:space="preserve">vigueur, </w:t>
      </w:r>
      <w:r w:rsidR="006B52CC">
        <w:t>des demandes de remboursement ont été introduites, demeurées sans suite à ce jour. Il est à préciser, qu’une demande de recours est</w:t>
      </w:r>
      <w:r w:rsidR="00405295">
        <w:t xml:space="preserve"> actuellement </w:t>
      </w:r>
      <w:r w:rsidR="006B52CC">
        <w:t xml:space="preserve"> entre les mains de la commission </w:t>
      </w:r>
      <w:r w:rsidR="00405295">
        <w:t xml:space="preserve">centrale, </w:t>
      </w:r>
      <w:r w:rsidR="006B52CC">
        <w:t>portant sur le remboursement d’un acompte effectué en 2012, pour un montant de 15,1 Millions de DA.</w:t>
      </w:r>
    </w:p>
    <w:p w:rsidR="006B52CC" w:rsidRDefault="006B52CC" w:rsidP="002E41DF">
      <w:pPr>
        <w:pStyle w:val="Retraitcorpsdetexte"/>
        <w:ind w:left="0" w:right="283"/>
      </w:pPr>
    </w:p>
    <w:p w:rsidR="002E41DF" w:rsidRDefault="002E41DF" w:rsidP="002E41DF">
      <w:pPr>
        <w:pStyle w:val="Retraitcorpsdetexte"/>
        <w:ind w:left="0" w:right="283"/>
        <w:rPr>
          <w:b/>
          <w:u w:val="single"/>
        </w:rPr>
      </w:pPr>
      <w:r>
        <w:rPr>
          <w:b/>
          <w:color w:val="008000"/>
        </w:rPr>
        <w:t>QUATRE</w:t>
      </w:r>
      <w:r w:rsidR="00257AFB">
        <w:rPr>
          <w:b/>
        </w:rPr>
        <w:t>-</w:t>
      </w:r>
      <w:proofErr w:type="gramStart"/>
      <w:r>
        <w:rPr>
          <w:b/>
          <w:u w:val="single"/>
        </w:rPr>
        <w:t>Trésorerie  :</w:t>
      </w:r>
      <w:proofErr w:type="gramEnd"/>
    </w:p>
    <w:p w:rsidR="002E41DF" w:rsidRDefault="002E41DF" w:rsidP="002E41DF">
      <w:pPr>
        <w:pStyle w:val="Retraitcorpsdetexte"/>
        <w:ind w:left="0" w:right="283"/>
        <w:rPr>
          <w:b/>
          <w:u w:val="single"/>
        </w:rPr>
      </w:pPr>
    </w:p>
    <w:p w:rsidR="002E41DF" w:rsidRDefault="002E41DF" w:rsidP="006B52CC">
      <w:pPr>
        <w:pStyle w:val="Retraitcorpsdetexte"/>
        <w:ind w:left="0" w:right="283"/>
      </w:pPr>
      <w:r>
        <w:t xml:space="preserve">La trésorerie a </w:t>
      </w:r>
      <w:r w:rsidR="00471AB7">
        <w:t xml:space="preserve">connu à fin </w:t>
      </w:r>
      <w:r w:rsidR="00F33D9C">
        <w:t xml:space="preserve"> Juin </w:t>
      </w:r>
      <w:r w:rsidR="006B52CC">
        <w:t>2022</w:t>
      </w:r>
      <w:r w:rsidR="008D6327">
        <w:t>,</w:t>
      </w:r>
      <w:r>
        <w:t xml:space="preserve"> un</w:t>
      </w:r>
      <w:r w:rsidR="00514EB9">
        <w:t>e</w:t>
      </w:r>
      <w:r w:rsidR="00FD40D8">
        <w:t xml:space="preserve">légère </w:t>
      </w:r>
      <w:r w:rsidR="007D55B9">
        <w:t xml:space="preserve">amélioration </w:t>
      </w:r>
      <w:r w:rsidR="00514EB9">
        <w:t xml:space="preserve">de son niveau, </w:t>
      </w:r>
      <w:r>
        <w:t xml:space="preserve">  comparativement à la si</w:t>
      </w:r>
      <w:r w:rsidR="008D6327">
        <w:t>tuation qui a p</w:t>
      </w:r>
      <w:r w:rsidR="00FD40D8">
        <w:t xml:space="preserve">révalu à la date du 30 Juin </w:t>
      </w:r>
      <w:r w:rsidR="006B52CC">
        <w:t>2021, elle</w:t>
      </w:r>
      <w:r>
        <w:t xml:space="preserve">est de </w:t>
      </w:r>
      <w:r w:rsidR="006B52CC">
        <w:t>plus 7,6</w:t>
      </w:r>
      <w:r>
        <w:t xml:space="preserve">%, </w:t>
      </w:r>
      <w:r w:rsidR="008D6327">
        <w:t xml:space="preserve"> avec </w:t>
      </w:r>
      <w:r>
        <w:t>un volume de</w:t>
      </w:r>
      <w:r w:rsidR="006B52CC">
        <w:t xml:space="preserve"> 947,2</w:t>
      </w:r>
      <w:r w:rsidR="007D55B9">
        <w:t xml:space="preserve"> Millions de </w:t>
      </w:r>
      <w:r w:rsidR="00AD71B4">
        <w:t xml:space="preserve">DA, </w:t>
      </w:r>
      <w:r w:rsidR="007D55B9">
        <w:t xml:space="preserve">dont une part importante </w:t>
      </w:r>
      <w:r w:rsidR="006B52CC">
        <w:t xml:space="preserve">représente </w:t>
      </w:r>
      <w:r w:rsidR="007D55B9">
        <w:t>des fonds disponibles en devises.</w:t>
      </w:r>
    </w:p>
    <w:p w:rsidR="002E41DF" w:rsidRDefault="002E41DF" w:rsidP="002E41DF">
      <w:pPr>
        <w:pStyle w:val="Retraitcorpsdetexte"/>
        <w:ind w:left="0" w:right="283"/>
      </w:pPr>
    </w:p>
    <w:p w:rsidR="002E41DF" w:rsidRDefault="00393FCC" w:rsidP="002E41DF">
      <w:pPr>
        <w:pStyle w:val="Retraitcorpsdetexte"/>
        <w:ind w:left="0" w:right="283"/>
        <w:rPr>
          <w:b/>
          <w:color w:val="0000FF"/>
          <w:u w:val="single"/>
        </w:rPr>
      </w:pPr>
      <w:r>
        <w:rPr>
          <w:b/>
          <w:color w:val="0000FF"/>
          <w:u w:val="single"/>
        </w:rPr>
        <w:t>3</w:t>
      </w:r>
      <w:r w:rsidR="002E41DF">
        <w:rPr>
          <w:b/>
          <w:color w:val="0000FF"/>
          <w:u w:val="single"/>
        </w:rPr>
        <w:t>-1-2 Passif</w:t>
      </w:r>
    </w:p>
    <w:p w:rsidR="002E41DF" w:rsidRDefault="002E41DF" w:rsidP="002E41DF">
      <w:pPr>
        <w:pStyle w:val="Retraitcorpsdetexte"/>
        <w:ind w:left="0" w:right="283"/>
        <w:rPr>
          <w:b/>
          <w:color w:val="0000FF"/>
          <w:u w:val="single"/>
        </w:rPr>
      </w:pPr>
    </w:p>
    <w:p w:rsidR="002E41DF" w:rsidRDefault="002E41DF" w:rsidP="002E41DF">
      <w:pPr>
        <w:pStyle w:val="Retraitcorpsdetexte"/>
        <w:ind w:left="0" w:right="283"/>
      </w:pPr>
      <w:r>
        <w:t xml:space="preserve">Le  Système Comptable Financier a </w:t>
      </w:r>
      <w:r w:rsidR="00471AB7">
        <w:t xml:space="preserve">aussi </w:t>
      </w:r>
      <w:r>
        <w:t xml:space="preserve">introduit de nouveaux concepts </w:t>
      </w:r>
      <w:r w:rsidR="00650AAD">
        <w:t xml:space="preserve">sur </w:t>
      </w:r>
      <w:r>
        <w:t>le passif du bilan.  Ce passif est désormais constitué des obligations actuelles de l’entité résultant d’événements passés et dont l’extinction se traduira pour l’entité par une sortie de ressources représentatives d’avantages économiques.</w:t>
      </w:r>
    </w:p>
    <w:p w:rsidR="00C114E6" w:rsidRDefault="00C114E6" w:rsidP="002E41DF">
      <w:pPr>
        <w:pStyle w:val="Retraitcorpsdetexte"/>
        <w:ind w:left="0" w:right="283"/>
      </w:pPr>
    </w:p>
    <w:p w:rsidR="002E41DF" w:rsidRDefault="002E41DF" w:rsidP="002E41DF">
      <w:pPr>
        <w:pStyle w:val="Retraitcorpsdetexte"/>
        <w:ind w:left="0" w:right="283"/>
      </w:pPr>
      <w:r>
        <w:t>Le passif est dit courant, lorsqu’il est attendu qu’il soit réglé dans le cadre du cycle normal d’exploitation ou il doit être payé dans les douze (12) mois qui suive</w:t>
      </w:r>
      <w:r w:rsidR="00471AB7">
        <w:t xml:space="preserve">nt </w:t>
      </w:r>
      <w:r>
        <w:t xml:space="preserve"> la clôture de l’exercice</w:t>
      </w:r>
      <w:r w:rsidR="00470396">
        <w:t xml:space="preserve"> concerné.</w:t>
      </w:r>
    </w:p>
    <w:p w:rsidR="002E41DF" w:rsidRDefault="002E41DF" w:rsidP="002E41DF">
      <w:pPr>
        <w:pStyle w:val="Retraitcorpsdetexte"/>
        <w:ind w:left="0" w:right="283"/>
      </w:pPr>
    </w:p>
    <w:p w:rsidR="002E41DF" w:rsidRDefault="002E41DF" w:rsidP="002E41DF">
      <w:pPr>
        <w:pStyle w:val="Retraitcorpsdetexte"/>
        <w:ind w:left="0" w:right="283"/>
      </w:pPr>
      <w:r>
        <w:t>Tous les autres passifs sont classés en tant que passifs non courants.</w:t>
      </w:r>
    </w:p>
    <w:p w:rsidR="002E41DF" w:rsidRDefault="002E41DF" w:rsidP="002E41DF">
      <w:pPr>
        <w:pStyle w:val="Retraitcorpsdetexte"/>
        <w:ind w:left="0" w:right="283"/>
      </w:pPr>
    </w:p>
    <w:p w:rsidR="002E41DF" w:rsidRDefault="002E41DF" w:rsidP="002E41DF">
      <w:pPr>
        <w:pStyle w:val="Retraitcorpsdetexte"/>
        <w:ind w:left="0" w:right="283"/>
      </w:pPr>
      <w:r>
        <w:t>Il existe évidemment une exception à cette règle, qui vise les passifs à long terme portant sur les intérêts classés en passifs non courants même si leur règlement doit intervenir dans les douze(12) mois suivant la date de clôture de l’exercice</w:t>
      </w:r>
      <w:r w:rsidR="00C86D5A">
        <w:t>.</w:t>
      </w:r>
    </w:p>
    <w:p w:rsidR="00C86D5A" w:rsidRDefault="00C86D5A" w:rsidP="002E41DF">
      <w:pPr>
        <w:pStyle w:val="Retraitcorpsdetexte"/>
        <w:ind w:left="0" w:right="283"/>
      </w:pPr>
    </w:p>
    <w:p w:rsidR="006F3441" w:rsidRDefault="006F3441" w:rsidP="002E41DF">
      <w:pPr>
        <w:pStyle w:val="Retraitcorpsdetexte"/>
        <w:ind w:left="0" w:right="283"/>
      </w:pPr>
    </w:p>
    <w:p w:rsidR="002E41DF" w:rsidRDefault="002E41DF" w:rsidP="002E41DF">
      <w:pPr>
        <w:pStyle w:val="Retraitcorpsdetexte"/>
        <w:ind w:left="0" w:right="283"/>
        <w:rPr>
          <w:b/>
          <w:u w:val="single"/>
        </w:rPr>
      </w:pPr>
    </w:p>
    <w:p w:rsidR="00405295" w:rsidRDefault="00405295" w:rsidP="002E41DF">
      <w:pPr>
        <w:pStyle w:val="Retraitcorpsdetexte"/>
        <w:ind w:left="0" w:right="283"/>
        <w:rPr>
          <w:b/>
          <w:u w:val="single"/>
        </w:rPr>
      </w:pPr>
    </w:p>
    <w:p w:rsidR="00405295" w:rsidRDefault="00405295" w:rsidP="002E41DF">
      <w:pPr>
        <w:pStyle w:val="Retraitcorpsdetexte"/>
        <w:ind w:left="0" w:right="283"/>
        <w:rPr>
          <w:b/>
          <w:u w:val="single"/>
        </w:rPr>
      </w:pPr>
    </w:p>
    <w:p w:rsidR="00405295" w:rsidRDefault="00405295" w:rsidP="002E41DF">
      <w:pPr>
        <w:pStyle w:val="Retraitcorpsdetexte"/>
        <w:ind w:left="0" w:right="283"/>
        <w:rPr>
          <w:b/>
          <w:u w:val="single"/>
        </w:rPr>
      </w:pPr>
    </w:p>
    <w:p w:rsidR="002E41DF" w:rsidRDefault="00393FCC" w:rsidP="002E41DF">
      <w:pPr>
        <w:pStyle w:val="Retraitcorpsdetexte"/>
        <w:ind w:left="0" w:right="283"/>
        <w:rPr>
          <w:b/>
          <w:color w:val="008000"/>
          <w:u w:val="single"/>
        </w:rPr>
      </w:pPr>
      <w:r>
        <w:rPr>
          <w:b/>
          <w:color w:val="008000"/>
          <w:u w:val="single"/>
        </w:rPr>
        <w:t>3</w:t>
      </w:r>
      <w:r w:rsidR="002E41DF">
        <w:rPr>
          <w:b/>
          <w:color w:val="008000"/>
          <w:u w:val="single"/>
        </w:rPr>
        <w:t>-1-2-1 Capitaux Propres :</w:t>
      </w:r>
    </w:p>
    <w:p w:rsidR="002E41DF" w:rsidRDefault="002E41DF" w:rsidP="002E41DF">
      <w:pPr>
        <w:pStyle w:val="Retraitcorpsdetexte"/>
        <w:ind w:left="0" w:right="283"/>
      </w:pPr>
    </w:p>
    <w:p w:rsidR="002E41DF" w:rsidRDefault="002E41DF" w:rsidP="00D431D2">
      <w:pPr>
        <w:pStyle w:val="Retraitcorpsdetexte"/>
        <w:ind w:left="0" w:right="283"/>
      </w:pPr>
      <w:r>
        <w:t xml:space="preserve">D’un montant de  </w:t>
      </w:r>
      <w:r w:rsidR="006B52CC">
        <w:t>3</w:t>
      </w:r>
      <w:r>
        <w:t>.</w:t>
      </w:r>
      <w:r w:rsidR="006B52CC">
        <w:t>757</w:t>
      </w:r>
      <w:r>
        <w:t>.</w:t>
      </w:r>
      <w:r w:rsidR="006B52CC">
        <w:t>847</w:t>
      </w:r>
      <w:r>
        <w:t>.</w:t>
      </w:r>
      <w:r w:rsidR="006B52CC">
        <w:t>178</w:t>
      </w:r>
      <w:r>
        <w:t>,</w:t>
      </w:r>
      <w:r w:rsidR="006B52CC">
        <w:t>22</w:t>
      </w:r>
      <w:r w:rsidR="00470396">
        <w:t xml:space="preserve"> DA à fin</w:t>
      </w:r>
      <w:r w:rsidR="006C5972">
        <w:t xml:space="preserve"> Juin </w:t>
      </w:r>
      <w:r w:rsidR="006B52CC">
        <w:t xml:space="preserve"> 2021</w:t>
      </w:r>
      <w:r w:rsidR="00713D49">
        <w:t>,</w:t>
      </w:r>
      <w:r>
        <w:t xml:space="preserve"> ils se chiffrent au </w:t>
      </w:r>
      <w:r w:rsidR="006C5972">
        <w:t xml:space="preserve">30 Juin </w:t>
      </w:r>
      <w:r w:rsidR="006B52CC">
        <w:t xml:space="preserve">2022 </w:t>
      </w:r>
      <w:r>
        <w:t xml:space="preserve">à  </w:t>
      </w:r>
      <w:r w:rsidR="00F4364C">
        <w:t>3</w:t>
      </w:r>
      <w:r w:rsidR="008D6327">
        <w:t>.</w:t>
      </w:r>
      <w:r w:rsidR="00D431D2">
        <w:t>375</w:t>
      </w:r>
      <w:r w:rsidR="008D6327">
        <w:t>.</w:t>
      </w:r>
      <w:r w:rsidR="00D431D2">
        <w:t>313</w:t>
      </w:r>
      <w:r w:rsidR="008D6327">
        <w:t>.</w:t>
      </w:r>
      <w:r w:rsidR="00D431D2">
        <w:t>722</w:t>
      </w:r>
      <w:r w:rsidR="00F4364C">
        <w:t>,</w:t>
      </w:r>
      <w:r w:rsidR="00D431D2">
        <w:t xml:space="preserve">97 </w:t>
      </w:r>
      <w:r w:rsidR="009C4336">
        <w:t>DA</w:t>
      </w:r>
      <w:r w:rsidR="00F4364C">
        <w:t xml:space="preserve">, soit une </w:t>
      </w:r>
      <w:r w:rsidR="00AD71B4">
        <w:t xml:space="preserve">détérioration </w:t>
      </w:r>
      <w:r w:rsidR="00F4364C">
        <w:t>des fonds propres en relation directe avec les déficits en</w:t>
      </w:r>
      <w:r w:rsidR="00D431D2">
        <w:t>registrés durant l’exercice 2021</w:t>
      </w:r>
      <w:r w:rsidR="00F4364C">
        <w:t xml:space="preserve"> et au titre du prem</w:t>
      </w:r>
      <w:r w:rsidR="00D431D2">
        <w:t>ier semestre 2022 de l’ordre de 10,2%.</w:t>
      </w:r>
    </w:p>
    <w:p w:rsidR="00493A09" w:rsidRDefault="00493A09" w:rsidP="002E41DF">
      <w:pPr>
        <w:pStyle w:val="Retraitcorpsdetexte"/>
        <w:ind w:left="0" w:right="283"/>
      </w:pPr>
    </w:p>
    <w:p w:rsidR="007D55B9" w:rsidRDefault="002E41DF" w:rsidP="00D431D2">
      <w:pPr>
        <w:pStyle w:val="Retraitcorpsdetexte"/>
        <w:ind w:left="0" w:right="283"/>
      </w:pPr>
      <w:r>
        <w:t>Cette variation résulte</w:t>
      </w:r>
      <w:r w:rsidR="00D431D2">
        <w:t xml:space="preserve">également </w:t>
      </w:r>
      <w:r>
        <w:t xml:space="preserve">de la mise en </w:t>
      </w:r>
      <w:r w:rsidR="006009F8">
        <w:t xml:space="preserve">œuvre </w:t>
      </w:r>
      <w:r>
        <w:t>des résolutions de l’As</w:t>
      </w:r>
      <w:r w:rsidR="00F4364C">
        <w:t>semblée Générale Ordinaire des A</w:t>
      </w:r>
      <w:r>
        <w:t xml:space="preserve">ctionnaires </w:t>
      </w:r>
      <w:r w:rsidR="00470396">
        <w:t>de la SPA EGH Chaine EL-</w:t>
      </w:r>
      <w:proofErr w:type="spellStart"/>
      <w:r w:rsidR="00470396">
        <w:t>Aurassi</w:t>
      </w:r>
      <w:proofErr w:type="spellEnd"/>
      <w:r w:rsidR="00470396">
        <w:t xml:space="preserve"> tenue le </w:t>
      </w:r>
      <w:r w:rsidR="00D431D2">
        <w:t>14 Juin 2022.</w:t>
      </w:r>
    </w:p>
    <w:p w:rsidR="0012073A" w:rsidRDefault="0012073A" w:rsidP="002E41DF">
      <w:pPr>
        <w:pStyle w:val="Retraitcorpsdetexte"/>
        <w:ind w:left="0" w:right="283"/>
      </w:pPr>
    </w:p>
    <w:p w:rsidR="002E41DF" w:rsidRDefault="002E41DF" w:rsidP="002E41DF">
      <w:pPr>
        <w:pStyle w:val="Retraitcorpsdetexte"/>
        <w:ind w:left="0" w:right="283"/>
      </w:pPr>
      <w:r>
        <w:t>Ces capitaux propres s’établissement comme suit :</w:t>
      </w:r>
    </w:p>
    <w:p w:rsidR="002E41DF" w:rsidRDefault="002E41DF" w:rsidP="002E41DF">
      <w:pPr>
        <w:pStyle w:val="Retraitcorpsdetexte"/>
        <w:ind w:left="0" w:right="283"/>
      </w:pPr>
    </w:p>
    <w:p w:rsidR="002E41DF" w:rsidRDefault="002E41DF" w:rsidP="003C00AA">
      <w:pPr>
        <w:pStyle w:val="Retraitcorpsdetexte"/>
        <w:numPr>
          <w:ilvl w:val="0"/>
          <w:numId w:val="11"/>
        </w:numPr>
        <w:ind w:right="283"/>
        <w:jc w:val="both"/>
      </w:pPr>
      <w:r>
        <w:t xml:space="preserve">Capital émis </w:t>
      </w:r>
      <w:r>
        <w:tab/>
      </w:r>
      <w:r>
        <w:tab/>
      </w:r>
      <w:r>
        <w:tab/>
      </w:r>
      <w:r>
        <w:tab/>
        <w:t>:</w:t>
      </w:r>
      <w:r>
        <w:tab/>
      </w:r>
      <w:r>
        <w:tab/>
        <w:t xml:space="preserve">               1.500.000.000,00 DA</w:t>
      </w:r>
    </w:p>
    <w:p w:rsidR="002E41DF" w:rsidRDefault="002E41DF" w:rsidP="003C00AA">
      <w:pPr>
        <w:pStyle w:val="Retraitcorpsdetexte"/>
        <w:numPr>
          <w:ilvl w:val="0"/>
          <w:numId w:val="11"/>
        </w:numPr>
        <w:ind w:right="283"/>
        <w:jc w:val="both"/>
      </w:pPr>
      <w:r>
        <w:t xml:space="preserve">Primes et réserves </w:t>
      </w:r>
      <w:r>
        <w:tab/>
      </w:r>
      <w:r>
        <w:tab/>
      </w:r>
      <w:r>
        <w:tab/>
      </w:r>
      <w:r>
        <w:tab/>
        <w:t>:</w:t>
      </w:r>
      <w:r>
        <w:tab/>
        <w:t xml:space="preserve">               2.</w:t>
      </w:r>
      <w:r w:rsidR="00713D49">
        <w:t>858</w:t>
      </w:r>
      <w:r>
        <w:t>.</w:t>
      </w:r>
      <w:r w:rsidR="0097621F">
        <w:t>602</w:t>
      </w:r>
      <w:r>
        <w:t>.</w:t>
      </w:r>
      <w:r w:rsidR="0097621F">
        <w:t>621</w:t>
      </w:r>
      <w:r>
        <w:t>,</w:t>
      </w:r>
      <w:r w:rsidR="0097621F">
        <w:t>01</w:t>
      </w:r>
      <w:r>
        <w:t xml:space="preserve"> DA</w:t>
      </w:r>
    </w:p>
    <w:p w:rsidR="002E41DF" w:rsidRDefault="008D6327" w:rsidP="003C00AA">
      <w:pPr>
        <w:pStyle w:val="Retraitcorpsdetexte"/>
        <w:numPr>
          <w:ilvl w:val="0"/>
          <w:numId w:val="11"/>
        </w:numPr>
        <w:ind w:right="283"/>
        <w:jc w:val="both"/>
      </w:pPr>
      <w:r>
        <w:t xml:space="preserve">Résultat </w:t>
      </w:r>
      <w:r w:rsidR="00835510">
        <w:t xml:space="preserve">déficitaire </w:t>
      </w:r>
      <w:r>
        <w:t>du semestre :</w:t>
      </w:r>
      <w:r w:rsidR="00E21FA0">
        <w:t xml:space="preserve">                                     </w:t>
      </w:r>
      <w:r w:rsidR="00835510">
        <w:t>-</w:t>
      </w:r>
      <w:r w:rsidR="00D431D2">
        <w:t>189</w:t>
      </w:r>
      <w:r w:rsidR="002E41DF">
        <w:t>.</w:t>
      </w:r>
      <w:r w:rsidR="00D431D2">
        <w:t>484</w:t>
      </w:r>
      <w:r w:rsidR="002E41DF">
        <w:t>.</w:t>
      </w:r>
      <w:r w:rsidR="00D431D2">
        <w:t>883</w:t>
      </w:r>
      <w:r w:rsidR="002E41DF">
        <w:t>,</w:t>
      </w:r>
      <w:r w:rsidR="00D431D2">
        <w:t>62</w:t>
      </w:r>
      <w:r w:rsidR="002E41DF">
        <w:t xml:space="preserve"> DA</w:t>
      </w:r>
    </w:p>
    <w:p w:rsidR="002E41DF" w:rsidRDefault="002E41DF" w:rsidP="003C00AA">
      <w:pPr>
        <w:pStyle w:val="Retraitcorpsdetexte"/>
        <w:numPr>
          <w:ilvl w:val="0"/>
          <w:numId w:val="11"/>
        </w:numPr>
        <w:ind w:right="283"/>
        <w:jc w:val="both"/>
      </w:pPr>
      <w:r>
        <w:t xml:space="preserve">Autres capitaux propres, report à nouveau      </w:t>
      </w:r>
      <w:r w:rsidR="00E21FA0">
        <w:t xml:space="preserve">                </w:t>
      </w:r>
      <w:r>
        <w:t xml:space="preserve"> </w:t>
      </w:r>
      <w:r w:rsidR="00F4364C">
        <w:t>-</w:t>
      </w:r>
      <w:r w:rsidR="00D431D2">
        <w:t>793</w:t>
      </w:r>
      <w:r w:rsidR="00D736F4">
        <w:t>.</w:t>
      </w:r>
      <w:r w:rsidR="00D431D2">
        <w:t>804</w:t>
      </w:r>
      <w:r w:rsidR="00D736F4">
        <w:t>.</w:t>
      </w:r>
      <w:r w:rsidR="00D431D2">
        <w:t>014</w:t>
      </w:r>
      <w:r w:rsidR="00D736F4">
        <w:t>,</w:t>
      </w:r>
      <w:r w:rsidR="00D431D2">
        <w:t>42</w:t>
      </w:r>
      <w:r w:rsidR="00D736F4">
        <w:t xml:space="preserve"> DA</w:t>
      </w:r>
    </w:p>
    <w:p w:rsidR="002E41DF" w:rsidRDefault="002E41DF" w:rsidP="002E41DF">
      <w:pPr>
        <w:pStyle w:val="Retraitcorpsdetexte"/>
        <w:ind w:left="0" w:right="283"/>
      </w:pPr>
    </w:p>
    <w:p w:rsidR="002E41DF" w:rsidRDefault="005416BB" w:rsidP="00D431D2">
      <w:pPr>
        <w:pStyle w:val="Retraitcorpsdetexte"/>
        <w:ind w:left="1416" w:right="283"/>
        <w:rPr>
          <w:b/>
        </w:rPr>
      </w:pPr>
      <w:r w:rsidRPr="005416BB">
        <w:rPr>
          <w:noProof/>
        </w:rPr>
        <w:pict>
          <v:line id="_x0000_s1299" style="position:absolute;left:0;text-align:left;z-index:251666432" from="209.95pt,11.2pt" to="310.75pt,11.2pt" o:allowincell="f">
            <v:stroke endarrow="block"/>
          </v:line>
        </w:pict>
      </w:r>
      <w:r w:rsidR="00E21FA0">
        <w:t>Soit, un total de</w:t>
      </w:r>
      <w:r w:rsidR="00E21FA0">
        <w:tab/>
      </w:r>
      <w:r w:rsidR="002E41DF">
        <w:tab/>
      </w:r>
      <w:r w:rsidR="00E21FA0">
        <w:rPr>
          <w:b/>
        </w:rPr>
        <w:t xml:space="preserve">                                   3.375.313.722,97</w:t>
      </w:r>
      <w:r w:rsidR="00A51A44" w:rsidRPr="00A51A44">
        <w:rPr>
          <w:b/>
        </w:rPr>
        <w:t>DA</w:t>
      </w:r>
      <w:r w:rsidR="00E21FA0">
        <w:rPr>
          <w:b/>
        </w:rPr>
        <w:t xml:space="preserve">   </w:t>
      </w:r>
    </w:p>
    <w:p w:rsidR="002E41DF" w:rsidRDefault="002E41DF" w:rsidP="002E41DF">
      <w:pPr>
        <w:ind w:right="283"/>
        <w:jc w:val="both"/>
        <w:rPr>
          <w:sz w:val="28"/>
        </w:rPr>
      </w:pPr>
    </w:p>
    <w:p w:rsidR="002E41DF" w:rsidRDefault="00393FCC" w:rsidP="002E41DF">
      <w:pPr>
        <w:ind w:right="283"/>
        <w:jc w:val="both"/>
        <w:rPr>
          <w:b/>
          <w:color w:val="008000"/>
          <w:sz w:val="28"/>
          <w:u w:val="single"/>
        </w:rPr>
      </w:pPr>
      <w:r>
        <w:rPr>
          <w:b/>
          <w:color w:val="008000"/>
          <w:sz w:val="28"/>
          <w:u w:val="single"/>
        </w:rPr>
        <w:t>3</w:t>
      </w:r>
      <w:r w:rsidR="002E41DF">
        <w:rPr>
          <w:b/>
          <w:color w:val="008000"/>
          <w:sz w:val="28"/>
          <w:u w:val="single"/>
        </w:rPr>
        <w:t>.1.2.2 Les passifs non courants :</w:t>
      </w:r>
    </w:p>
    <w:p w:rsidR="002E41DF" w:rsidRDefault="002E41DF" w:rsidP="002E41DF">
      <w:pPr>
        <w:ind w:right="283"/>
        <w:jc w:val="both"/>
        <w:rPr>
          <w:sz w:val="28"/>
        </w:rPr>
      </w:pPr>
    </w:p>
    <w:p w:rsidR="002E41DF" w:rsidRDefault="002E41DF" w:rsidP="00D431D2">
      <w:pPr>
        <w:ind w:right="283"/>
        <w:jc w:val="both"/>
        <w:rPr>
          <w:sz w:val="28"/>
        </w:rPr>
      </w:pPr>
      <w:r>
        <w:rPr>
          <w:sz w:val="28"/>
        </w:rPr>
        <w:t xml:space="preserve">D’un montant de  </w:t>
      </w:r>
      <w:r w:rsidR="00835510">
        <w:rPr>
          <w:sz w:val="28"/>
        </w:rPr>
        <w:t>5</w:t>
      </w:r>
      <w:r>
        <w:rPr>
          <w:sz w:val="28"/>
        </w:rPr>
        <w:t>.</w:t>
      </w:r>
      <w:r w:rsidR="00D431D2">
        <w:rPr>
          <w:sz w:val="28"/>
        </w:rPr>
        <w:t>110</w:t>
      </w:r>
      <w:r>
        <w:rPr>
          <w:sz w:val="28"/>
        </w:rPr>
        <w:t>.</w:t>
      </w:r>
      <w:r w:rsidR="00D431D2">
        <w:rPr>
          <w:sz w:val="28"/>
        </w:rPr>
        <w:t>910</w:t>
      </w:r>
      <w:r>
        <w:rPr>
          <w:sz w:val="28"/>
        </w:rPr>
        <w:t>.</w:t>
      </w:r>
      <w:r w:rsidR="00D431D2">
        <w:rPr>
          <w:sz w:val="28"/>
        </w:rPr>
        <w:t>720</w:t>
      </w:r>
      <w:r>
        <w:rPr>
          <w:sz w:val="28"/>
        </w:rPr>
        <w:t>,</w:t>
      </w:r>
      <w:r w:rsidR="00D431D2">
        <w:rPr>
          <w:sz w:val="28"/>
        </w:rPr>
        <w:t>38</w:t>
      </w:r>
      <w:r>
        <w:rPr>
          <w:sz w:val="28"/>
        </w:rPr>
        <w:t xml:space="preserve"> DA. Il s’agit d’un endettement envers des tiers constitué de</w:t>
      </w:r>
      <w:r w:rsidR="005F53D6">
        <w:rPr>
          <w:sz w:val="28"/>
        </w:rPr>
        <w:t> :</w:t>
      </w:r>
    </w:p>
    <w:p w:rsidR="002E41DF" w:rsidRDefault="00835510" w:rsidP="003C00AA">
      <w:pPr>
        <w:numPr>
          <w:ilvl w:val="0"/>
          <w:numId w:val="8"/>
        </w:numPr>
        <w:ind w:right="283"/>
        <w:jc w:val="both"/>
        <w:rPr>
          <w:sz w:val="28"/>
        </w:rPr>
      </w:pPr>
      <w:r>
        <w:rPr>
          <w:sz w:val="28"/>
        </w:rPr>
        <w:t>Emprunt CPA « Rénovation RYM »</w:t>
      </w:r>
      <w:r w:rsidR="00E21FA0">
        <w:rPr>
          <w:sz w:val="28"/>
        </w:rPr>
        <w:t xml:space="preserve">                         </w:t>
      </w:r>
      <w:r>
        <w:rPr>
          <w:sz w:val="28"/>
        </w:rPr>
        <w:t>595.715.473,43 DA</w:t>
      </w:r>
    </w:p>
    <w:p w:rsidR="002E41DF" w:rsidRDefault="002E41DF" w:rsidP="003C00AA">
      <w:pPr>
        <w:numPr>
          <w:ilvl w:val="0"/>
          <w:numId w:val="8"/>
        </w:numPr>
        <w:ind w:right="283"/>
        <w:jc w:val="both"/>
        <w:rPr>
          <w:sz w:val="28"/>
        </w:rPr>
      </w:pPr>
      <w:r>
        <w:rPr>
          <w:sz w:val="28"/>
        </w:rPr>
        <w:t>Emprunt CPA «  Rénovation</w:t>
      </w:r>
      <w:r w:rsidR="00835510">
        <w:rPr>
          <w:sz w:val="28"/>
        </w:rPr>
        <w:t xml:space="preserve"> El-</w:t>
      </w:r>
      <w:proofErr w:type="spellStart"/>
      <w:r w:rsidR="00835510">
        <w:rPr>
          <w:sz w:val="28"/>
        </w:rPr>
        <w:t>Aurassi</w:t>
      </w:r>
      <w:proofErr w:type="spellEnd"/>
      <w:r w:rsidR="00835510">
        <w:rPr>
          <w:sz w:val="28"/>
        </w:rPr>
        <w:t> »</w:t>
      </w:r>
      <w:r w:rsidR="00E21FA0">
        <w:rPr>
          <w:sz w:val="28"/>
        </w:rPr>
        <w:t xml:space="preserve">             </w:t>
      </w:r>
      <w:r w:rsidR="00713D49">
        <w:rPr>
          <w:sz w:val="28"/>
        </w:rPr>
        <w:t>3</w:t>
      </w:r>
      <w:r>
        <w:rPr>
          <w:sz w:val="28"/>
        </w:rPr>
        <w:t>.</w:t>
      </w:r>
      <w:r w:rsidR="00D431D2">
        <w:rPr>
          <w:sz w:val="28"/>
        </w:rPr>
        <w:t>133</w:t>
      </w:r>
      <w:r>
        <w:rPr>
          <w:sz w:val="28"/>
        </w:rPr>
        <w:t>.</w:t>
      </w:r>
      <w:r w:rsidR="00D431D2">
        <w:rPr>
          <w:sz w:val="28"/>
        </w:rPr>
        <w:t>370</w:t>
      </w:r>
      <w:r>
        <w:rPr>
          <w:sz w:val="28"/>
        </w:rPr>
        <w:t>.</w:t>
      </w:r>
      <w:r w:rsidR="00D431D2">
        <w:rPr>
          <w:sz w:val="28"/>
        </w:rPr>
        <w:t>052</w:t>
      </w:r>
      <w:r>
        <w:rPr>
          <w:sz w:val="28"/>
        </w:rPr>
        <w:t>,</w:t>
      </w:r>
      <w:r w:rsidR="00D431D2">
        <w:rPr>
          <w:sz w:val="28"/>
        </w:rPr>
        <w:t>09</w:t>
      </w:r>
      <w:r>
        <w:rPr>
          <w:sz w:val="28"/>
        </w:rPr>
        <w:t xml:space="preserve"> DA</w:t>
      </w:r>
    </w:p>
    <w:p w:rsidR="0024652C" w:rsidRDefault="0024652C" w:rsidP="003C00AA">
      <w:pPr>
        <w:numPr>
          <w:ilvl w:val="0"/>
          <w:numId w:val="8"/>
        </w:numPr>
        <w:ind w:right="283"/>
        <w:jc w:val="both"/>
        <w:rPr>
          <w:sz w:val="28"/>
        </w:rPr>
      </w:pPr>
      <w:r>
        <w:rPr>
          <w:sz w:val="28"/>
        </w:rPr>
        <w:t>Emprunt Trésor «  Rénovat</w:t>
      </w:r>
      <w:r w:rsidR="00A51A44">
        <w:rPr>
          <w:sz w:val="28"/>
        </w:rPr>
        <w:t xml:space="preserve">ion »                </w:t>
      </w:r>
      <w:r w:rsidR="00E21FA0">
        <w:rPr>
          <w:sz w:val="28"/>
        </w:rPr>
        <w:t xml:space="preserve">              </w:t>
      </w:r>
      <w:r w:rsidR="00A51A44">
        <w:rPr>
          <w:sz w:val="28"/>
        </w:rPr>
        <w:t xml:space="preserve"> </w:t>
      </w:r>
      <w:r w:rsidR="00835510">
        <w:rPr>
          <w:sz w:val="28"/>
        </w:rPr>
        <w:t>823</w:t>
      </w:r>
      <w:r>
        <w:rPr>
          <w:sz w:val="28"/>
        </w:rPr>
        <w:t>.</w:t>
      </w:r>
      <w:r w:rsidR="00835510">
        <w:rPr>
          <w:sz w:val="28"/>
        </w:rPr>
        <w:t>023</w:t>
      </w:r>
      <w:r>
        <w:rPr>
          <w:sz w:val="28"/>
        </w:rPr>
        <w:t>.</w:t>
      </w:r>
      <w:r w:rsidR="00835510">
        <w:rPr>
          <w:sz w:val="28"/>
        </w:rPr>
        <w:t>684</w:t>
      </w:r>
      <w:r>
        <w:rPr>
          <w:sz w:val="28"/>
        </w:rPr>
        <w:t>,</w:t>
      </w:r>
      <w:r w:rsidR="00835510">
        <w:rPr>
          <w:sz w:val="28"/>
        </w:rPr>
        <w:t>35</w:t>
      </w:r>
      <w:r>
        <w:rPr>
          <w:sz w:val="28"/>
        </w:rPr>
        <w:t xml:space="preserve"> DA</w:t>
      </w:r>
    </w:p>
    <w:p w:rsidR="002E41DF" w:rsidRDefault="002E41DF" w:rsidP="003C00AA">
      <w:pPr>
        <w:numPr>
          <w:ilvl w:val="0"/>
          <w:numId w:val="8"/>
        </w:numPr>
        <w:ind w:right="283"/>
        <w:jc w:val="both"/>
        <w:rPr>
          <w:sz w:val="28"/>
        </w:rPr>
      </w:pPr>
      <w:r>
        <w:rPr>
          <w:sz w:val="28"/>
        </w:rPr>
        <w:t xml:space="preserve">Dépôts et cautionnements reçus                  </w:t>
      </w:r>
      <w:r w:rsidR="00E21FA0">
        <w:rPr>
          <w:sz w:val="28"/>
        </w:rPr>
        <w:t xml:space="preserve">            </w:t>
      </w:r>
      <w:r>
        <w:rPr>
          <w:sz w:val="28"/>
        </w:rPr>
        <w:t xml:space="preserve">   </w:t>
      </w:r>
      <w:r w:rsidR="00D431D2">
        <w:rPr>
          <w:sz w:val="28"/>
        </w:rPr>
        <w:t xml:space="preserve"> 22</w:t>
      </w:r>
      <w:r>
        <w:rPr>
          <w:sz w:val="28"/>
        </w:rPr>
        <w:t>.</w:t>
      </w:r>
      <w:r w:rsidR="00D431D2">
        <w:rPr>
          <w:sz w:val="28"/>
        </w:rPr>
        <w:t>695</w:t>
      </w:r>
      <w:r>
        <w:rPr>
          <w:sz w:val="28"/>
        </w:rPr>
        <w:t>.</w:t>
      </w:r>
      <w:r w:rsidR="00D431D2">
        <w:rPr>
          <w:sz w:val="28"/>
        </w:rPr>
        <w:t>049</w:t>
      </w:r>
      <w:r>
        <w:rPr>
          <w:sz w:val="28"/>
        </w:rPr>
        <w:t>,</w:t>
      </w:r>
      <w:r w:rsidR="00D431D2">
        <w:rPr>
          <w:sz w:val="28"/>
        </w:rPr>
        <w:t>24</w:t>
      </w:r>
      <w:r>
        <w:rPr>
          <w:sz w:val="28"/>
        </w:rPr>
        <w:t xml:space="preserve"> DA</w:t>
      </w:r>
    </w:p>
    <w:p w:rsidR="005F4311" w:rsidRDefault="005F4311" w:rsidP="003C00AA">
      <w:pPr>
        <w:numPr>
          <w:ilvl w:val="0"/>
          <w:numId w:val="8"/>
        </w:numPr>
        <w:ind w:right="283"/>
        <w:jc w:val="both"/>
        <w:rPr>
          <w:sz w:val="28"/>
        </w:rPr>
      </w:pPr>
      <w:r>
        <w:rPr>
          <w:sz w:val="28"/>
        </w:rPr>
        <w:t xml:space="preserve">Autres dettes non courantes        </w:t>
      </w:r>
      <w:r w:rsidR="00E21FA0">
        <w:rPr>
          <w:sz w:val="28"/>
        </w:rPr>
        <w:t xml:space="preserve">                                     </w:t>
      </w:r>
      <w:r>
        <w:rPr>
          <w:sz w:val="28"/>
        </w:rPr>
        <w:t>984.059,95 DA</w:t>
      </w:r>
    </w:p>
    <w:p w:rsidR="00BE49DA" w:rsidRPr="00D34FD9" w:rsidRDefault="00BE49DA" w:rsidP="003C00AA">
      <w:pPr>
        <w:numPr>
          <w:ilvl w:val="0"/>
          <w:numId w:val="8"/>
        </w:numPr>
        <w:ind w:right="283"/>
        <w:jc w:val="both"/>
        <w:rPr>
          <w:sz w:val="28"/>
        </w:rPr>
      </w:pPr>
      <w:r>
        <w:rPr>
          <w:sz w:val="28"/>
        </w:rPr>
        <w:t>Autres subventions d’investissements                       220.472.391,15 DA</w:t>
      </w:r>
    </w:p>
    <w:p w:rsidR="002E41DF" w:rsidRPr="00146D86" w:rsidRDefault="002E41DF" w:rsidP="003C00AA">
      <w:pPr>
        <w:numPr>
          <w:ilvl w:val="0"/>
          <w:numId w:val="8"/>
        </w:numPr>
        <w:ind w:right="283"/>
        <w:jc w:val="both"/>
        <w:rPr>
          <w:sz w:val="28"/>
        </w:rPr>
      </w:pPr>
      <w:r>
        <w:rPr>
          <w:sz w:val="28"/>
        </w:rPr>
        <w:t xml:space="preserve">Provisions &amp;produits constatés d’avance </w:t>
      </w:r>
      <w:r w:rsidR="00E21FA0">
        <w:rPr>
          <w:sz w:val="28"/>
        </w:rPr>
        <w:t xml:space="preserve">                 </w:t>
      </w:r>
      <w:r w:rsidR="00BE49DA">
        <w:rPr>
          <w:sz w:val="28"/>
        </w:rPr>
        <w:t>314</w:t>
      </w:r>
      <w:r>
        <w:rPr>
          <w:sz w:val="28"/>
        </w:rPr>
        <w:t>.</w:t>
      </w:r>
      <w:r w:rsidR="00BE49DA">
        <w:rPr>
          <w:sz w:val="28"/>
        </w:rPr>
        <w:t>650</w:t>
      </w:r>
      <w:r>
        <w:rPr>
          <w:sz w:val="28"/>
        </w:rPr>
        <w:t>.</w:t>
      </w:r>
      <w:r w:rsidR="00BE49DA">
        <w:rPr>
          <w:sz w:val="28"/>
        </w:rPr>
        <w:t>010</w:t>
      </w:r>
      <w:r>
        <w:rPr>
          <w:sz w:val="28"/>
        </w:rPr>
        <w:t>,</w:t>
      </w:r>
      <w:r w:rsidR="00BE49DA">
        <w:rPr>
          <w:sz w:val="28"/>
        </w:rPr>
        <w:t>17</w:t>
      </w:r>
      <w:r w:rsidRPr="00146D86">
        <w:rPr>
          <w:sz w:val="28"/>
        </w:rPr>
        <w:t xml:space="preserve"> DA                 </w:t>
      </w:r>
    </w:p>
    <w:p w:rsidR="002E41DF" w:rsidRDefault="002E41DF" w:rsidP="002E41DF">
      <w:pPr>
        <w:ind w:left="288" w:right="283"/>
        <w:jc w:val="both"/>
        <w:rPr>
          <w:sz w:val="28"/>
        </w:rPr>
      </w:pPr>
    </w:p>
    <w:p w:rsidR="002E41DF" w:rsidRDefault="002E41DF" w:rsidP="003C5C95">
      <w:pPr>
        <w:ind w:right="283"/>
        <w:jc w:val="both"/>
        <w:rPr>
          <w:sz w:val="28"/>
        </w:rPr>
      </w:pPr>
      <w:r>
        <w:rPr>
          <w:sz w:val="28"/>
        </w:rPr>
        <w:t xml:space="preserve">Les passifs non courants sont constitués </w:t>
      </w:r>
      <w:r w:rsidR="00A91AE1">
        <w:rPr>
          <w:sz w:val="28"/>
        </w:rPr>
        <w:t xml:space="preserve">principalement </w:t>
      </w:r>
      <w:r>
        <w:rPr>
          <w:sz w:val="28"/>
        </w:rPr>
        <w:t xml:space="preserve">de </w:t>
      </w:r>
      <w:r w:rsidR="003C5C95">
        <w:rPr>
          <w:sz w:val="28"/>
        </w:rPr>
        <w:t xml:space="preserve">trois </w:t>
      </w:r>
      <w:r>
        <w:rPr>
          <w:sz w:val="28"/>
        </w:rPr>
        <w:t>(</w:t>
      </w:r>
      <w:r w:rsidR="003C5C95">
        <w:rPr>
          <w:sz w:val="28"/>
        </w:rPr>
        <w:t>03</w:t>
      </w:r>
      <w:r>
        <w:rPr>
          <w:sz w:val="28"/>
        </w:rPr>
        <w:t xml:space="preserve">) emprunts principaux, dont </w:t>
      </w:r>
      <w:r w:rsidR="003C5C95">
        <w:rPr>
          <w:sz w:val="28"/>
        </w:rPr>
        <w:t xml:space="preserve">deux </w:t>
      </w:r>
      <w:r w:rsidR="00C21FF2">
        <w:rPr>
          <w:sz w:val="28"/>
        </w:rPr>
        <w:t>contracté</w:t>
      </w:r>
      <w:r w:rsidR="003C5C95">
        <w:rPr>
          <w:sz w:val="28"/>
        </w:rPr>
        <w:t>s</w:t>
      </w:r>
      <w:r>
        <w:rPr>
          <w:sz w:val="28"/>
        </w:rPr>
        <w:t xml:space="preserve"> auprès du Créd</w:t>
      </w:r>
      <w:r w:rsidR="00C21FF2">
        <w:rPr>
          <w:sz w:val="28"/>
        </w:rPr>
        <w:t xml:space="preserve">it Populaire d’Algérie, </w:t>
      </w:r>
      <w:r>
        <w:rPr>
          <w:sz w:val="28"/>
        </w:rPr>
        <w:t xml:space="preserve">constitué de </w:t>
      </w:r>
      <w:r w:rsidR="003C5C95">
        <w:rPr>
          <w:sz w:val="28"/>
        </w:rPr>
        <w:t xml:space="preserve">huit </w:t>
      </w:r>
      <w:r w:rsidR="00C21FF2">
        <w:rPr>
          <w:sz w:val="28"/>
        </w:rPr>
        <w:t xml:space="preserve">conventions de crédits portant </w:t>
      </w:r>
      <w:r>
        <w:rPr>
          <w:sz w:val="28"/>
        </w:rPr>
        <w:t xml:space="preserve"> sur le financement de l’opération de rénovatio</w:t>
      </w:r>
      <w:r w:rsidR="003C5C95">
        <w:rPr>
          <w:sz w:val="28"/>
        </w:rPr>
        <w:t>n de l’hôtel El-</w:t>
      </w:r>
      <w:proofErr w:type="spellStart"/>
      <w:r w:rsidR="003C5C95">
        <w:rPr>
          <w:sz w:val="28"/>
        </w:rPr>
        <w:t>Aurassi</w:t>
      </w:r>
      <w:proofErr w:type="spellEnd"/>
      <w:r w:rsidR="003C5C95">
        <w:rPr>
          <w:sz w:val="28"/>
        </w:rPr>
        <w:t xml:space="preserve"> et de l’hôtel </w:t>
      </w:r>
      <w:proofErr w:type="spellStart"/>
      <w:r w:rsidR="003C5C95">
        <w:rPr>
          <w:sz w:val="28"/>
        </w:rPr>
        <w:t>Rym</w:t>
      </w:r>
      <w:proofErr w:type="spellEnd"/>
      <w:r w:rsidR="003C5C95">
        <w:rPr>
          <w:sz w:val="28"/>
        </w:rPr>
        <w:t xml:space="preserve"> de Béni-Abbés. </w:t>
      </w:r>
    </w:p>
    <w:p w:rsidR="002E41DF" w:rsidRDefault="002E41DF" w:rsidP="002E41DF">
      <w:pPr>
        <w:ind w:right="283"/>
        <w:jc w:val="both"/>
        <w:rPr>
          <w:sz w:val="28"/>
        </w:rPr>
      </w:pPr>
    </w:p>
    <w:p w:rsidR="002E41DF" w:rsidRDefault="002E41DF" w:rsidP="003C5C95">
      <w:pPr>
        <w:ind w:right="283"/>
        <w:jc w:val="both"/>
        <w:rPr>
          <w:sz w:val="28"/>
        </w:rPr>
      </w:pPr>
      <w:r>
        <w:rPr>
          <w:sz w:val="28"/>
        </w:rPr>
        <w:t xml:space="preserve">Le </w:t>
      </w:r>
      <w:r w:rsidR="003C5C95">
        <w:rPr>
          <w:sz w:val="28"/>
        </w:rPr>
        <w:t xml:space="preserve">troisième </w:t>
      </w:r>
      <w:r w:rsidR="00C53046">
        <w:rPr>
          <w:sz w:val="28"/>
        </w:rPr>
        <w:t>emprunt contracté auprès du Trésor P</w:t>
      </w:r>
      <w:r>
        <w:rPr>
          <w:sz w:val="28"/>
        </w:rPr>
        <w:t>ublic pour un montant initial de 438.910.111,00 DA, libérable par tranche sur présentation de pièces justificatives.</w:t>
      </w:r>
    </w:p>
    <w:p w:rsidR="00A91AE1" w:rsidRDefault="00A91AE1" w:rsidP="002E41DF">
      <w:pPr>
        <w:ind w:right="283"/>
        <w:jc w:val="both"/>
        <w:rPr>
          <w:sz w:val="28"/>
        </w:rPr>
      </w:pPr>
    </w:p>
    <w:p w:rsidR="00A24C4E" w:rsidRDefault="002E41DF" w:rsidP="002E41DF">
      <w:pPr>
        <w:ind w:right="283"/>
        <w:jc w:val="both"/>
        <w:rPr>
          <w:sz w:val="28"/>
        </w:rPr>
      </w:pPr>
      <w:r>
        <w:rPr>
          <w:sz w:val="28"/>
        </w:rPr>
        <w:t xml:space="preserve">Cette enveloppe initiale a été augmentée par voie d’avenant </w:t>
      </w:r>
      <w:r w:rsidR="00C53046">
        <w:rPr>
          <w:sz w:val="28"/>
        </w:rPr>
        <w:t xml:space="preserve">N°01 </w:t>
      </w:r>
      <w:r>
        <w:rPr>
          <w:sz w:val="28"/>
        </w:rPr>
        <w:t xml:space="preserve">pour être </w:t>
      </w:r>
      <w:r w:rsidR="00A24C4E">
        <w:rPr>
          <w:sz w:val="28"/>
        </w:rPr>
        <w:t>portée à 1.308,3 Millions de DA, destiné</w:t>
      </w:r>
      <w:r w:rsidR="00405295">
        <w:rPr>
          <w:sz w:val="28"/>
        </w:rPr>
        <w:t>e</w:t>
      </w:r>
      <w:r w:rsidR="00A24C4E">
        <w:rPr>
          <w:sz w:val="28"/>
        </w:rPr>
        <w:t xml:space="preserve"> à financer les opérations de modernisation des unités du Sud et principalement les unités </w:t>
      </w:r>
      <w:proofErr w:type="spellStart"/>
      <w:r w:rsidR="00A24C4E">
        <w:rPr>
          <w:sz w:val="28"/>
        </w:rPr>
        <w:t>B</w:t>
      </w:r>
      <w:r w:rsidR="00890A26">
        <w:rPr>
          <w:sz w:val="28"/>
        </w:rPr>
        <w:t>oustène</w:t>
      </w:r>
      <w:proofErr w:type="spellEnd"/>
      <w:r w:rsidR="00890A26">
        <w:rPr>
          <w:sz w:val="28"/>
        </w:rPr>
        <w:t xml:space="preserve"> de </w:t>
      </w:r>
      <w:proofErr w:type="spellStart"/>
      <w:r w:rsidR="00890A26">
        <w:rPr>
          <w:sz w:val="28"/>
        </w:rPr>
        <w:t>Ménéa</w:t>
      </w:r>
      <w:proofErr w:type="spellEnd"/>
      <w:r w:rsidR="00890A26">
        <w:rPr>
          <w:sz w:val="28"/>
        </w:rPr>
        <w:t xml:space="preserve"> et </w:t>
      </w:r>
      <w:proofErr w:type="spellStart"/>
      <w:r w:rsidR="00890A26">
        <w:rPr>
          <w:sz w:val="28"/>
        </w:rPr>
        <w:t>Mehri</w:t>
      </w:r>
      <w:r w:rsidR="008D6327">
        <w:rPr>
          <w:sz w:val="28"/>
        </w:rPr>
        <w:t>d’Ouargla</w:t>
      </w:r>
      <w:proofErr w:type="spellEnd"/>
      <w:r w:rsidR="008D6327">
        <w:rPr>
          <w:sz w:val="28"/>
        </w:rPr>
        <w:t>.</w:t>
      </w:r>
    </w:p>
    <w:p w:rsidR="00A24C4E" w:rsidRDefault="00A24C4E" w:rsidP="002E41DF">
      <w:pPr>
        <w:ind w:right="283"/>
        <w:jc w:val="both"/>
        <w:rPr>
          <w:sz w:val="28"/>
        </w:rPr>
      </w:pPr>
    </w:p>
    <w:p w:rsidR="000C7817" w:rsidRDefault="002E41DF" w:rsidP="002E41DF">
      <w:pPr>
        <w:ind w:right="283"/>
        <w:jc w:val="both"/>
        <w:rPr>
          <w:sz w:val="28"/>
        </w:rPr>
      </w:pPr>
      <w:r>
        <w:rPr>
          <w:sz w:val="28"/>
        </w:rPr>
        <w:lastRenderedPageBreak/>
        <w:t xml:space="preserve"> Cet emprunt </w:t>
      </w:r>
      <w:r w:rsidR="00A24C4E">
        <w:rPr>
          <w:sz w:val="28"/>
        </w:rPr>
        <w:t xml:space="preserve">est </w:t>
      </w:r>
      <w:r>
        <w:rPr>
          <w:sz w:val="28"/>
        </w:rPr>
        <w:t>rémunéré au taux bonifié de 3,5% l’an au lieu d’un taux bonifié de 1%</w:t>
      </w:r>
      <w:r w:rsidR="00C53046">
        <w:rPr>
          <w:sz w:val="28"/>
        </w:rPr>
        <w:t xml:space="preserve">, </w:t>
      </w:r>
      <w:r>
        <w:rPr>
          <w:sz w:val="28"/>
        </w:rPr>
        <w:t xml:space="preserve"> prévu initialement.</w:t>
      </w:r>
    </w:p>
    <w:p w:rsidR="00713D49" w:rsidRDefault="00713D49" w:rsidP="002E41DF">
      <w:pPr>
        <w:ind w:right="283"/>
        <w:jc w:val="both"/>
        <w:rPr>
          <w:sz w:val="28"/>
        </w:rPr>
      </w:pPr>
    </w:p>
    <w:p w:rsidR="002E41DF" w:rsidRDefault="000744D2" w:rsidP="00924A37">
      <w:pPr>
        <w:ind w:left="1080" w:right="283"/>
        <w:jc w:val="both"/>
        <w:rPr>
          <w:b/>
          <w:color w:val="008000"/>
          <w:sz w:val="28"/>
          <w:u w:val="single"/>
        </w:rPr>
      </w:pPr>
      <w:r>
        <w:rPr>
          <w:b/>
          <w:color w:val="008000"/>
          <w:sz w:val="28"/>
          <w:u w:val="single"/>
        </w:rPr>
        <w:t>3</w:t>
      </w:r>
      <w:r w:rsidR="00924A37">
        <w:rPr>
          <w:b/>
          <w:color w:val="008000"/>
          <w:sz w:val="28"/>
          <w:u w:val="single"/>
        </w:rPr>
        <w:t>-1-2-3/</w:t>
      </w:r>
      <w:r w:rsidR="007A7653">
        <w:rPr>
          <w:b/>
          <w:color w:val="008000"/>
          <w:sz w:val="28"/>
          <w:u w:val="single"/>
        </w:rPr>
        <w:t xml:space="preserve">Les passifs </w:t>
      </w:r>
      <w:r w:rsidR="002E41DF">
        <w:rPr>
          <w:b/>
          <w:color w:val="008000"/>
          <w:sz w:val="28"/>
          <w:u w:val="single"/>
        </w:rPr>
        <w:t xml:space="preserve"> courants :</w:t>
      </w:r>
    </w:p>
    <w:p w:rsidR="002E41DF" w:rsidRDefault="002E41DF" w:rsidP="002E41DF">
      <w:pPr>
        <w:ind w:right="283"/>
        <w:jc w:val="both"/>
        <w:rPr>
          <w:b/>
          <w:sz w:val="28"/>
          <w:u w:val="single"/>
        </w:rPr>
      </w:pPr>
    </w:p>
    <w:p w:rsidR="002E41DF" w:rsidRDefault="00BE49DA" w:rsidP="00BE49DA">
      <w:pPr>
        <w:ind w:right="283"/>
        <w:jc w:val="both"/>
        <w:rPr>
          <w:sz w:val="28"/>
        </w:rPr>
      </w:pPr>
      <w:r>
        <w:rPr>
          <w:sz w:val="28"/>
        </w:rPr>
        <w:t>D’un  montant de  772</w:t>
      </w:r>
      <w:r w:rsidR="002E41DF">
        <w:rPr>
          <w:sz w:val="28"/>
        </w:rPr>
        <w:t>.</w:t>
      </w:r>
      <w:r>
        <w:rPr>
          <w:sz w:val="28"/>
        </w:rPr>
        <w:t>328</w:t>
      </w:r>
      <w:r w:rsidR="002E41DF">
        <w:rPr>
          <w:sz w:val="28"/>
        </w:rPr>
        <w:t>.</w:t>
      </w:r>
      <w:r>
        <w:rPr>
          <w:sz w:val="28"/>
        </w:rPr>
        <w:t>892</w:t>
      </w:r>
      <w:r w:rsidR="002E41DF">
        <w:rPr>
          <w:sz w:val="28"/>
        </w:rPr>
        <w:t>,</w:t>
      </w:r>
      <w:r>
        <w:rPr>
          <w:sz w:val="28"/>
        </w:rPr>
        <w:t>10</w:t>
      </w:r>
      <w:r w:rsidR="002E41DF">
        <w:rPr>
          <w:sz w:val="28"/>
        </w:rPr>
        <w:t xml:space="preserve"> DA, il se décompose et s’analyse comme suit :                                                   </w:t>
      </w:r>
    </w:p>
    <w:p w:rsidR="002E41DF" w:rsidRDefault="002E41DF" w:rsidP="002E41DF">
      <w:pPr>
        <w:ind w:right="283"/>
        <w:jc w:val="both"/>
        <w:rPr>
          <w:sz w:val="28"/>
        </w:rPr>
      </w:pPr>
    </w:p>
    <w:p w:rsidR="002E41DF" w:rsidRDefault="002E41DF" w:rsidP="003C00AA">
      <w:pPr>
        <w:numPr>
          <w:ilvl w:val="0"/>
          <w:numId w:val="15"/>
        </w:numPr>
        <w:ind w:right="283"/>
        <w:jc w:val="both"/>
        <w:rPr>
          <w:sz w:val="28"/>
        </w:rPr>
      </w:pPr>
      <w:r>
        <w:rPr>
          <w:sz w:val="28"/>
        </w:rPr>
        <w:t>Fournisseurs et comptes rattachés</w:t>
      </w:r>
      <w:r w:rsidR="00E21FA0">
        <w:rPr>
          <w:sz w:val="28"/>
        </w:rPr>
        <w:t xml:space="preserve">           </w:t>
      </w:r>
      <w:r>
        <w:rPr>
          <w:sz w:val="28"/>
        </w:rPr>
        <w:t xml:space="preserve"> </w:t>
      </w:r>
      <w:r>
        <w:rPr>
          <w:sz w:val="28"/>
        </w:rPr>
        <w:tab/>
      </w:r>
      <w:r w:rsidR="00E21FA0">
        <w:rPr>
          <w:sz w:val="28"/>
        </w:rPr>
        <w:t xml:space="preserve">          </w:t>
      </w:r>
      <w:r w:rsidR="00BE49DA">
        <w:rPr>
          <w:sz w:val="28"/>
        </w:rPr>
        <w:t>182</w:t>
      </w:r>
      <w:r>
        <w:rPr>
          <w:sz w:val="28"/>
        </w:rPr>
        <w:t>.</w:t>
      </w:r>
      <w:r w:rsidR="00BE49DA">
        <w:rPr>
          <w:sz w:val="28"/>
        </w:rPr>
        <w:t>984</w:t>
      </w:r>
      <w:r>
        <w:rPr>
          <w:sz w:val="28"/>
        </w:rPr>
        <w:t>.</w:t>
      </w:r>
      <w:r w:rsidR="00BE49DA">
        <w:rPr>
          <w:sz w:val="28"/>
        </w:rPr>
        <w:t>699</w:t>
      </w:r>
      <w:r>
        <w:rPr>
          <w:sz w:val="28"/>
        </w:rPr>
        <w:t>,</w:t>
      </w:r>
      <w:r w:rsidR="00BE49DA">
        <w:rPr>
          <w:sz w:val="28"/>
        </w:rPr>
        <w:t>63</w:t>
      </w:r>
      <w:r>
        <w:rPr>
          <w:sz w:val="28"/>
        </w:rPr>
        <w:t>DA</w:t>
      </w:r>
    </w:p>
    <w:p w:rsidR="002E41DF" w:rsidRDefault="002E41DF" w:rsidP="003C00AA">
      <w:pPr>
        <w:numPr>
          <w:ilvl w:val="0"/>
          <w:numId w:val="15"/>
        </w:numPr>
        <w:ind w:right="283"/>
        <w:jc w:val="both"/>
        <w:rPr>
          <w:sz w:val="28"/>
        </w:rPr>
      </w:pPr>
      <w:r>
        <w:rPr>
          <w:sz w:val="28"/>
        </w:rPr>
        <w:t xml:space="preserve">Impôts                                                         </w:t>
      </w:r>
      <w:r w:rsidR="00BE49DA">
        <w:rPr>
          <w:sz w:val="28"/>
        </w:rPr>
        <w:t xml:space="preserve"> </w:t>
      </w:r>
      <w:r w:rsidR="00E21FA0">
        <w:rPr>
          <w:sz w:val="28"/>
        </w:rPr>
        <w:t xml:space="preserve">            </w:t>
      </w:r>
      <w:r w:rsidR="00BE49DA">
        <w:rPr>
          <w:sz w:val="28"/>
        </w:rPr>
        <w:t>103</w:t>
      </w:r>
      <w:r>
        <w:rPr>
          <w:sz w:val="28"/>
        </w:rPr>
        <w:t>.</w:t>
      </w:r>
      <w:r w:rsidR="00BE49DA">
        <w:rPr>
          <w:sz w:val="28"/>
        </w:rPr>
        <w:t>039</w:t>
      </w:r>
      <w:r>
        <w:rPr>
          <w:sz w:val="28"/>
        </w:rPr>
        <w:t>.</w:t>
      </w:r>
      <w:r w:rsidR="00BE49DA">
        <w:rPr>
          <w:sz w:val="28"/>
        </w:rPr>
        <w:t>834</w:t>
      </w:r>
      <w:r>
        <w:rPr>
          <w:sz w:val="28"/>
        </w:rPr>
        <w:t>,</w:t>
      </w:r>
      <w:r w:rsidR="00BE49DA">
        <w:rPr>
          <w:sz w:val="28"/>
        </w:rPr>
        <w:t>72</w:t>
      </w:r>
      <w:r>
        <w:rPr>
          <w:sz w:val="28"/>
        </w:rPr>
        <w:t xml:space="preserve"> DA</w:t>
      </w:r>
    </w:p>
    <w:p w:rsidR="002E41DF" w:rsidRDefault="002E41DF" w:rsidP="003C00AA">
      <w:pPr>
        <w:numPr>
          <w:ilvl w:val="0"/>
          <w:numId w:val="15"/>
        </w:numPr>
        <w:ind w:right="283"/>
        <w:jc w:val="both"/>
        <w:rPr>
          <w:sz w:val="28"/>
        </w:rPr>
      </w:pPr>
      <w:r>
        <w:rPr>
          <w:sz w:val="28"/>
        </w:rPr>
        <w:t xml:space="preserve">Autres dettes                                                </w:t>
      </w:r>
      <w:r w:rsidR="00E21FA0">
        <w:rPr>
          <w:sz w:val="28"/>
        </w:rPr>
        <w:t xml:space="preserve">            </w:t>
      </w:r>
      <w:r>
        <w:rPr>
          <w:sz w:val="28"/>
        </w:rPr>
        <w:t xml:space="preserve"> </w:t>
      </w:r>
      <w:r w:rsidR="00BE49DA">
        <w:rPr>
          <w:sz w:val="28"/>
        </w:rPr>
        <w:t>486</w:t>
      </w:r>
      <w:r>
        <w:rPr>
          <w:sz w:val="28"/>
        </w:rPr>
        <w:t>.</w:t>
      </w:r>
      <w:r w:rsidR="00BE49DA">
        <w:rPr>
          <w:sz w:val="28"/>
        </w:rPr>
        <w:t>304</w:t>
      </w:r>
      <w:r>
        <w:rPr>
          <w:sz w:val="28"/>
        </w:rPr>
        <w:t>.</w:t>
      </w:r>
      <w:r w:rsidR="00BE49DA">
        <w:rPr>
          <w:sz w:val="28"/>
        </w:rPr>
        <w:t>357</w:t>
      </w:r>
      <w:r>
        <w:rPr>
          <w:sz w:val="28"/>
        </w:rPr>
        <w:t>,</w:t>
      </w:r>
      <w:r w:rsidR="00BE49DA">
        <w:rPr>
          <w:sz w:val="28"/>
        </w:rPr>
        <w:t>75</w:t>
      </w:r>
      <w:r>
        <w:rPr>
          <w:sz w:val="28"/>
        </w:rPr>
        <w:t xml:space="preserve"> DA</w:t>
      </w:r>
    </w:p>
    <w:p w:rsidR="002E41DF" w:rsidRDefault="002E41DF" w:rsidP="002E41DF">
      <w:pPr>
        <w:tabs>
          <w:tab w:val="left" w:pos="3855"/>
        </w:tabs>
        <w:ind w:right="283"/>
        <w:jc w:val="both"/>
        <w:rPr>
          <w:sz w:val="28"/>
        </w:rPr>
      </w:pPr>
    </w:p>
    <w:p w:rsidR="002E41DF" w:rsidRDefault="005416BB" w:rsidP="00BE49DA">
      <w:pPr>
        <w:ind w:right="283"/>
        <w:jc w:val="both"/>
        <w:rPr>
          <w:b/>
          <w:sz w:val="28"/>
        </w:rPr>
      </w:pPr>
      <w:r w:rsidRPr="005416BB">
        <w:rPr>
          <w:sz w:val="28"/>
        </w:rPr>
        <w:pict>
          <v:line id="_x0000_s1302" style="position:absolute;left:0;text-align:left;z-index:251669504;mso-position-horizontal-relative:page" from="227.2pt,12.35pt" to="340.8pt,12.35pt" o:allowincell="f">
            <v:stroke endarrow="block"/>
            <w10:wrap anchorx="page"/>
          </v:line>
        </w:pict>
      </w:r>
      <w:r w:rsidR="002E41DF">
        <w:rPr>
          <w:b/>
          <w:sz w:val="28"/>
        </w:rPr>
        <w:t xml:space="preserve">                TOTAL</w:t>
      </w:r>
      <w:r w:rsidR="002E41DF">
        <w:rPr>
          <w:b/>
          <w:sz w:val="28"/>
        </w:rPr>
        <w:tab/>
      </w:r>
      <w:r w:rsidR="002E41DF">
        <w:rPr>
          <w:b/>
          <w:sz w:val="28"/>
        </w:rPr>
        <w:tab/>
      </w:r>
      <w:r w:rsidR="002E41DF">
        <w:rPr>
          <w:b/>
          <w:sz w:val="28"/>
        </w:rPr>
        <w:tab/>
      </w:r>
      <w:r w:rsidR="002E41DF">
        <w:rPr>
          <w:b/>
          <w:sz w:val="28"/>
        </w:rPr>
        <w:tab/>
      </w:r>
      <w:r w:rsidR="00E21FA0">
        <w:rPr>
          <w:b/>
          <w:sz w:val="28"/>
        </w:rPr>
        <w:t xml:space="preserve">                              </w:t>
      </w:r>
      <w:r w:rsidR="00BE49DA">
        <w:rPr>
          <w:b/>
          <w:sz w:val="28"/>
        </w:rPr>
        <w:t>772</w:t>
      </w:r>
      <w:r w:rsidR="00A51A44">
        <w:rPr>
          <w:b/>
          <w:sz w:val="28"/>
        </w:rPr>
        <w:t>.</w:t>
      </w:r>
      <w:r w:rsidR="00BE49DA">
        <w:rPr>
          <w:b/>
          <w:sz w:val="28"/>
        </w:rPr>
        <w:t>328</w:t>
      </w:r>
      <w:r w:rsidR="00A51A44">
        <w:rPr>
          <w:b/>
          <w:sz w:val="28"/>
        </w:rPr>
        <w:t>.</w:t>
      </w:r>
      <w:r w:rsidR="00BE49DA">
        <w:rPr>
          <w:b/>
          <w:sz w:val="28"/>
        </w:rPr>
        <w:t>892</w:t>
      </w:r>
      <w:r w:rsidR="00A51A44">
        <w:rPr>
          <w:b/>
          <w:sz w:val="28"/>
        </w:rPr>
        <w:t>,</w:t>
      </w:r>
      <w:r w:rsidR="00BE49DA">
        <w:rPr>
          <w:b/>
          <w:sz w:val="28"/>
        </w:rPr>
        <w:t>10</w:t>
      </w:r>
      <w:r w:rsidR="00A51A44">
        <w:rPr>
          <w:b/>
          <w:sz w:val="28"/>
        </w:rPr>
        <w:t xml:space="preserve"> DA</w:t>
      </w:r>
    </w:p>
    <w:p w:rsidR="000A4AB7" w:rsidRDefault="000A4AB7" w:rsidP="002E41DF">
      <w:pPr>
        <w:ind w:right="283"/>
        <w:jc w:val="both"/>
        <w:rPr>
          <w:sz w:val="28"/>
        </w:rPr>
      </w:pPr>
    </w:p>
    <w:p w:rsidR="006C5972" w:rsidRDefault="006C5972" w:rsidP="002E41DF">
      <w:pPr>
        <w:ind w:right="283"/>
        <w:jc w:val="both"/>
        <w:rPr>
          <w:sz w:val="28"/>
        </w:rPr>
      </w:pPr>
    </w:p>
    <w:p w:rsidR="002E41DF" w:rsidRDefault="002E41DF" w:rsidP="002E41DF">
      <w:pPr>
        <w:pStyle w:val="Retraitcorpsdetexte"/>
        <w:ind w:left="0" w:right="283"/>
        <w:rPr>
          <w:b/>
          <w:u w:val="single"/>
        </w:rPr>
      </w:pPr>
      <w:r>
        <w:rPr>
          <w:b/>
          <w:color w:val="008000"/>
        </w:rPr>
        <w:t>UN</w:t>
      </w:r>
      <w:r>
        <w:rPr>
          <w:b/>
          <w:u w:val="single"/>
        </w:rPr>
        <w:t>– Fournisseurs &amp; comptes rattachés :</w:t>
      </w:r>
    </w:p>
    <w:p w:rsidR="002E41DF" w:rsidRDefault="002E41DF" w:rsidP="002E41DF">
      <w:pPr>
        <w:pStyle w:val="Retraitcorpsdetexte"/>
        <w:ind w:left="0" w:right="283"/>
        <w:rPr>
          <w:b/>
          <w:u w:val="single"/>
        </w:rPr>
      </w:pPr>
    </w:p>
    <w:p w:rsidR="00C53046" w:rsidRDefault="002E41DF" w:rsidP="007F6857">
      <w:pPr>
        <w:pStyle w:val="Retraitcorpsdetexte"/>
        <w:ind w:left="0" w:right="283"/>
      </w:pPr>
      <w:r w:rsidRPr="008628CF">
        <w:t>D</w:t>
      </w:r>
      <w:r>
        <w:t>’un montant de</w:t>
      </w:r>
      <w:r w:rsidR="00BE49DA">
        <w:t xml:space="preserve"> 183,0 </w:t>
      </w:r>
      <w:r>
        <w:t xml:space="preserve">Millions de DA, ce poste  abrite </w:t>
      </w:r>
      <w:r w:rsidR="00713D49">
        <w:t>pour un montant de</w:t>
      </w:r>
      <w:r w:rsidR="007F6857">
        <w:t xml:space="preserve"> 153,7 </w:t>
      </w:r>
      <w:r w:rsidR="00713D49">
        <w:t xml:space="preserve">Millions de DA, </w:t>
      </w:r>
      <w:r>
        <w:t>l’endettement à court terme de l’unité hôtelière EL-</w:t>
      </w:r>
      <w:proofErr w:type="spellStart"/>
      <w:r>
        <w:t>Aurass</w:t>
      </w:r>
      <w:r w:rsidR="00713D49">
        <w:t>i</w:t>
      </w:r>
      <w:proofErr w:type="spellEnd"/>
      <w:r w:rsidR="00713D49">
        <w:t>, vis-à-vis de</w:t>
      </w:r>
      <w:r w:rsidR="007F6857">
        <w:t xml:space="preserve">s différents fournisseurs de stocks, de services y compris l’endettement lié aux immobilisations, en rapport avec  </w:t>
      </w:r>
      <w:r w:rsidR="00713D49">
        <w:t>la société VIAMEC (Portugal),en charge</w:t>
      </w:r>
      <w:r w:rsidR="008D6327">
        <w:t xml:space="preserve"> de l’opération de réhabilitation et de modernisation de l’hôtel </w:t>
      </w:r>
      <w:proofErr w:type="spellStart"/>
      <w:r w:rsidR="008D6327">
        <w:t>Rym</w:t>
      </w:r>
      <w:proofErr w:type="spellEnd"/>
      <w:r w:rsidR="008D6327">
        <w:t xml:space="preserve"> de Béni-</w:t>
      </w:r>
      <w:r w:rsidR="00713D49">
        <w:t>Abbés</w:t>
      </w:r>
      <w:r w:rsidR="008D6327">
        <w:t>.</w:t>
      </w:r>
    </w:p>
    <w:p w:rsidR="00C53046" w:rsidRDefault="00C53046" w:rsidP="004F54A2">
      <w:pPr>
        <w:pStyle w:val="Retraitcorpsdetexte"/>
        <w:ind w:left="0" w:right="283"/>
      </w:pPr>
    </w:p>
    <w:p w:rsidR="00C64DC3" w:rsidRDefault="004F54A2" w:rsidP="00C64DC3">
      <w:pPr>
        <w:pStyle w:val="Retraitcorpsdetexte"/>
        <w:ind w:left="0" w:right="283"/>
      </w:pPr>
      <w:r>
        <w:t xml:space="preserve"> Quant aux fournisseurs de stocks et de services,  leur endettement </w:t>
      </w:r>
      <w:r w:rsidR="007F6857">
        <w:t xml:space="preserve">global à l’échelle de la chaine </w:t>
      </w:r>
      <w:r>
        <w:t>se chi</w:t>
      </w:r>
      <w:r w:rsidR="00C53046">
        <w:t>ffre à</w:t>
      </w:r>
      <w:r w:rsidR="00EC4D1B">
        <w:t xml:space="preserve"> 168,1</w:t>
      </w:r>
      <w:r w:rsidR="00C53046">
        <w:t xml:space="preserve">Millions qui </w:t>
      </w:r>
      <w:r w:rsidR="00EC4D1B">
        <w:t>n’ont</w:t>
      </w:r>
      <w:r>
        <w:t xml:space="preserve">pu être </w:t>
      </w:r>
      <w:r w:rsidR="00E01CE2">
        <w:t>honoré</w:t>
      </w:r>
      <w:r w:rsidR="007F6857">
        <w:t>s</w:t>
      </w:r>
      <w:r w:rsidR="00E01CE2">
        <w:t>,</w:t>
      </w:r>
      <w:r w:rsidR="00C64DC3">
        <w:t xml:space="preserve"> en raison du faible niveau </w:t>
      </w:r>
      <w:r>
        <w:t xml:space="preserve"> de </w:t>
      </w:r>
      <w:r w:rsidR="00C64DC3">
        <w:t xml:space="preserve">la </w:t>
      </w:r>
      <w:r>
        <w:t>trésorerie</w:t>
      </w:r>
      <w:r w:rsidR="00C64DC3">
        <w:t>.</w:t>
      </w:r>
    </w:p>
    <w:p w:rsidR="002E41DF" w:rsidRDefault="002E41DF" w:rsidP="002E41DF">
      <w:pPr>
        <w:ind w:left="284" w:right="283"/>
        <w:jc w:val="both"/>
        <w:rPr>
          <w:sz w:val="28"/>
        </w:rPr>
      </w:pPr>
    </w:p>
    <w:p w:rsidR="002E41DF" w:rsidRDefault="002E41DF" w:rsidP="002E41DF">
      <w:pPr>
        <w:pStyle w:val="Retraitcorpsdetexte"/>
        <w:ind w:left="0" w:right="283"/>
        <w:rPr>
          <w:b/>
          <w:u w:val="single"/>
        </w:rPr>
      </w:pPr>
      <w:r>
        <w:rPr>
          <w:b/>
          <w:color w:val="008000"/>
        </w:rPr>
        <w:t>DEUX</w:t>
      </w:r>
      <w:r>
        <w:rPr>
          <w:b/>
          <w:u w:val="single"/>
        </w:rPr>
        <w:t>– Impôts :</w:t>
      </w:r>
    </w:p>
    <w:p w:rsidR="002E41DF" w:rsidRDefault="002E41DF" w:rsidP="002E41DF">
      <w:pPr>
        <w:pStyle w:val="Retraitcorpsdetexte"/>
        <w:ind w:left="0" w:right="283"/>
        <w:rPr>
          <w:b/>
          <w:u w:val="single"/>
        </w:rPr>
      </w:pPr>
    </w:p>
    <w:p w:rsidR="002E41DF" w:rsidRDefault="002E41DF" w:rsidP="002E41DF">
      <w:pPr>
        <w:pStyle w:val="Retraitcorpsdetexte"/>
        <w:ind w:left="0" w:right="283"/>
      </w:pPr>
      <w:r w:rsidRPr="002C0599">
        <w:t xml:space="preserve">D’un </w:t>
      </w:r>
      <w:r>
        <w:t xml:space="preserve"> montant de</w:t>
      </w:r>
      <w:r w:rsidR="00C64DC3">
        <w:t xml:space="preserve"> 103,0</w:t>
      </w:r>
      <w:r>
        <w:t xml:space="preserve"> Millions de DA, il s’agit des impôts et taxes sur le chiffre d’affaires, tels que la taxe sur la valeur ajoutée et la taxe de séjours perçus pour lecompte de l’Etat ainsi que les autres types de taxes (taxe foncière, timbres de quittances</w:t>
      </w:r>
      <w:r w:rsidR="00CB6DAD">
        <w:t xml:space="preserve">, impôt sur les bénéfices des sociétés </w:t>
      </w:r>
      <w:r>
        <w:t xml:space="preserve"> etc.…..).</w:t>
      </w:r>
    </w:p>
    <w:p w:rsidR="00BF4A83" w:rsidRDefault="00BF4A83" w:rsidP="002E41DF">
      <w:pPr>
        <w:pStyle w:val="Retraitcorpsdetexte"/>
        <w:ind w:left="0" w:right="283"/>
      </w:pPr>
    </w:p>
    <w:p w:rsidR="00430970" w:rsidRDefault="00430970" w:rsidP="002E41DF">
      <w:pPr>
        <w:ind w:left="2880" w:right="283"/>
        <w:jc w:val="both"/>
        <w:rPr>
          <w:sz w:val="28"/>
        </w:rPr>
      </w:pPr>
    </w:p>
    <w:p w:rsidR="0043789E" w:rsidRDefault="0043789E" w:rsidP="0043789E">
      <w:pPr>
        <w:pStyle w:val="Retraitcorpsdetexte"/>
        <w:ind w:left="0" w:right="283"/>
        <w:rPr>
          <w:b/>
          <w:u w:val="single"/>
        </w:rPr>
      </w:pPr>
      <w:r>
        <w:rPr>
          <w:b/>
          <w:color w:val="008000"/>
        </w:rPr>
        <w:t xml:space="preserve">TROIS </w:t>
      </w:r>
      <w:r>
        <w:rPr>
          <w:b/>
          <w:u w:val="single"/>
        </w:rPr>
        <w:t xml:space="preserve">– Autres </w:t>
      </w:r>
      <w:proofErr w:type="gramStart"/>
      <w:r>
        <w:rPr>
          <w:b/>
          <w:u w:val="single"/>
        </w:rPr>
        <w:t>dettes  :</w:t>
      </w:r>
      <w:proofErr w:type="gramEnd"/>
    </w:p>
    <w:p w:rsidR="00EF5069" w:rsidRDefault="00EF5069" w:rsidP="002E41DF">
      <w:pPr>
        <w:ind w:left="2880" w:right="283"/>
        <w:jc w:val="both"/>
        <w:rPr>
          <w:sz w:val="28"/>
        </w:rPr>
      </w:pPr>
    </w:p>
    <w:p w:rsidR="00944332" w:rsidRDefault="0043789E" w:rsidP="004F54A2">
      <w:pPr>
        <w:pStyle w:val="Retraitcorpsdetexte"/>
        <w:ind w:left="0" w:right="283"/>
      </w:pPr>
      <w:r>
        <w:t>Cette rubrique recouvre le solde du compte courant associés  vis-à-vis de l’actionnai</w:t>
      </w:r>
      <w:r w:rsidR="00BF4A83">
        <w:t xml:space="preserve">re principal, </w:t>
      </w:r>
      <w:r w:rsidR="00994018">
        <w:t xml:space="preserve"> l'ex:</w:t>
      </w:r>
      <w:r>
        <w:t xml:space="preserve"> SGP </w:t>
      </w:r>
      <w:proofErr w:type="spellStart"/>
      <w:r>
        <w:t>Gestour</w:t>
      </w:r>
      <w:proofErr w:type="spellEnd"/>
      <w:r>
        <w:t>, dont le montant s’élève à</w:t>
      </w:r>
      <w:r w:rsidR="00EC4D1B">
        <w:t xml:space="preserve"> 40,0 </w:t>
      </w:r>
      <w:r w:rsidR="009928F8">
        <w:t>Millions de DA</w:t>
      </w:r>
      <w:r w:rsidR="00556DCA">
        <w:t>.</w:t>
      </w:r>
      <w:r>
        <w:t xml:space="preserve"> Le solde </w:t>
      </w:r>
      <w:r w:rsidR="00BF4A83">
        <w:t xml:space="preserve">restant représente </w:t>
      </w:r>
      <w:r w:rsidR="007F6857">
        <w:t>principalement,</w:t>
      </w:r>
      <w:r w:rsidR="00EC4D1B">
        <w:t xml:space="preserve"> les dettes vis-à-vis du personnel, des organismes sociaux et des dividendes à payer aux </w:t>
      </w:r>
      <w:r w:rsidR="007F6857">
        <w:t>actionnaires,</w:t>
      </w:r>
      <w:r w:rsidR="00EC4D1B">
        <w:t xml:space="preserve"> petits porteurs.</w:t>
      </w:r>
    </w:p>
    <w:p w:rsidR="00C53046" w:rsidRDefault="00C53046" w:rsidP="00E25F75">
      <w:pPr>
        <w:pStyle w:val="En-tte"/>
        <w:tabs>
          <w:tab w:val="clear" w:pos="4153"/>
          <w:tab w:val="clear" w:pos="8306"/>
        </w:tabs>
        <w:jc w:val="both"/>
        <w:rPr>
          <w:sz w:val="28"/>
        </w:rPr>
      </w:pPr>
    </w:p>
    <w:p w:rsidR="0012073A" w:rsidRDefault="0012073A" w:rsidP="00E25F75">
      <w:pPr>
        <w:pStyle w:val="En-tte"/>
        <w:tabs>
          <w:tab w:val="clear" w:pos="4153"/>
          <w:tab w:val="clear" w:pos="8306"/>
        </w:tabs>
        <w:jc w:val="both"/>
        <w:rPr>
          <w:sz w:val="28"/>
        </w:rPr>
      </w:pPr>
    </w:p>
    <w:p w:rsidR="0012073A" w:rsidRDefault="0012073A" w:rsidP="00E25F75">
      <w:pPr>
        <w:pStyle w:val="En-tte"/>
        <w:tabs>
          <w:tab w:val="clear" w:pos="4153"/>
          <w:tab w:val="clear" w:pos="8306"/>
        </w:tabs>
        <w:jc w:val="both"/>
        <w:rPr>
          <w:sz w:val="28"/>
        </w:rPr>
      </w:pPr>
    </w:p>
    <w:p w:rsidR="0012073A" w:rsidRDefault="0012073A" w:rsidP="00E25F75">
      <w:pPr>
        <w:pStyle w:val="En-tte"/>
        <w:tabs>
          <w:tab w:val="clear" w:pos="4153"/>
          <w:tab w:val="clear" w:pos="8306"/>
        </w:tabs>
        <w:jc w:val="both"/>
        <w:rPr>
          <w:sz w:val="28"/>
        </w:rPr>
      </w:pPr>
    </w:p>
    <w:p w:rsidR="0012073A" w:rsidRDefault="0012073A" w:rsidP="00E25F75">
      <w:pPr>
        <w:pStyle w:val="En-tte"/>
        <w:tabs>
          <w:tab w:val="clear" w:pos="4153"/>
          <w:tab w:val="clear" w:pos="8306"/>
        </w:tabs>
        <w:jc w:val="both"/>
        <w:rPr>
          <w:sz w:val="28"/>
        </w:rPr>
      </w:pPr>
    </w:p>
    <w:p w:rsidR="0012073A" w:rsidRDefault="0012073A" w:rsidP="00E25F75">
      <w:pPr>
        <w:pStyle w:val="En-tte"/>
        <w:tabs>
          <w:tab w:val="clear" w:pos="4153"/>
          <w:tab w:val="clear" w:pos="8306"/>
        </w:tabs>
        <w:jc w:val="both"/>
        <w:rPr>
          <w:sz w:val="28"/>
        </w:rPr>
      </w:pPr>
    </w:p>
    <w:p w:rsidR="0012073A" w:rsidRDefault="0012073A" w:rsidP="00E25F75">
      <w:pPr>
        <w:pStyle w:val="En-tte"/>
        <w:tabs>
          <w:tab w:val="clear" w:pos="4153"/>
          <w:tab w:val="clear" w:pos="8306"/>
        </w:tabs>
        <w:jc w:val="both"/>
        <w:rPr>
          <w:sz w:val="28"/>
        </w:rPr>
      </w:pPr>
    </w:p>
    <w:p w:rsidR="0012073A" w:rsidRDefault="0012073A" w:rsidP="00E25F75">
      <w:pPr>
        <w:pStyle w:val="En-tte"/>
        <w:tabs>
          <w:tab w:val="clear" w:pos="4153"/>
          <w:tab w:val="clear" w:pos="8306"/>
        </w:tabs>
        <w:jc w:val="both"/>
        <w:rPr>
          <w:sz w:val="28"/>
        </w:rPr>
      </w:pPr>
    </w:p>
    <w:p w:rsidR="00AE224E" w:rsidRDefault="000744D2" w:rsidP="00CD5EBB">
      <w:pPr>
        <w:pStyle w:val="En-tte"/>
        <w:tabs>
          <w:tab w:val="clear" w:pos="4153"/>
          <w:tab w:val="clear" w:pos="8306"/>
        </w:tabs>
        <w:jc w:val="both"/>
        <w:rPr>
          <w:b/>
          <w:sz w:val="32"/>
          <w:u w:val="single"/>
        </w:rPr>
      </w:pPr>
      <w:r>
        <w:rPr>
          <w:b/>
          <w:imprint/>
          <w:color w:val="FFFF00"/>
          <w:sz w:val="32"/>
        </w:rPr>
        <w:t>4</w:t>
      </w:r>
      <w:r w:rsidR="00AE224E">
        <w:rPr>
          <w:b/>
          <w:imprint/>
          <w:color w:val="FFFF00"/>
          <w:sz w:val="32"/>
        </w:rPr>
        <w:t xml:space="preserve">/ </w:t>
      </w:r>
      <w:r w:rsidR="00AE224E">
        <w:rPr>
          <w:b/>
          <w:color w:val="FF0000"/>
          <w:sz w:val="32"/>
          <w:u w:val="single"/>
        </w:rPr>
        <w:t xml:space="preserve">Evolution de la situation économique </w:t>
      </w:r>
      <w:r>
        <w:rPr>
          <w:b/>
          <w:color w:val="FF0000"/>
          <w:sz w:val="32"/>
          <w:u w:val="single"/>
        </w:rPr>
        <w:t xml:space="preserve">du premier semestre </w:t>
      </w:r>
      <w:r w:rsidR="00AE224E">
        <w:rPr>
          <w:b/>
          <w:color w:val="FF0000"/>
          <w:sz w:val="32"/>
          <w:u w:val="single"/>
        </w:rPr>
        <w:t>20</w:t>
      </w:r>
      <w:r w:rsidR="00C64DC3">
        <w:rPr>
          <w:b/>
          <w:color w:val="FF0000"/>
          <w:sz w:val="32"/>
          <w:u w:val="single"/>
        </w:rPr>
        <w:t>22</w:t>
      </w:r>
      <w:r w:rsidR="00AE224E">
        <w:rPr>
          <w:b/>
          <w:color w:val="FF0000"/>
          <w:sz w:val="32"/>
          <w:u w:val="single"/>
        </w:rPr>
        <w:t> :</w:t>
      </w:r>
    </w:p>
    <w:p w:rsidR="005D2650" w:rsidRDefault="005D2650" w:rsidP="009D00F4">
      <w:pPr>
        <w:pStyle w:val="En-tte"/>
        <w:tabs>
          <w:tab w:val="clear" w:pos="4153"/>
          <w:tab w:val="clear" w:pos="8306"/>
        </w:tabs>
        <w:jc w:val="both"/>
        <w:rPr>
          <w:b/>
          <w:sz w:val="32"/>
          <w:u w:val="single"/>
        </w:rPr>
      </w:pPr>
    </w:p>
    <w:p w:rsidR="00AE224E" w:rsidRDefault="000744D2">
      <w:pPr>
        <w:pStyle w:val="En-tte"/>
        <w:tabs>
          <w:tab w:val="clear" w:pos="4153"/>
          <w:tab w:val="clear" w:pos="8306"/>
        </w:tabs>
        <w:ind w:left="1134"/>
        <w:jc w:val="both"/>
        <w:rPr>
          <w:b/>
          <w:color w:val="000080"/>
          <w:sz w:val="32"/>
          <w:u w:val="single"/>
        </w:rPr>
      </w:pPr>
      <w:r>
        <w:rPr>
          <w:b/>
          <w:color w:val="000080"/>
          <w:sz w:val="32"/>
          <w:u w:val="single"/>
        </w:rPr>
        <w:t>4</w:t>
      </w:r>
      <w:r w:rsidR="00AE224E">
        <w:rPr>
          <w:b/>
          <w:color w:val="000080"/>
          <w:sz w:val="32"/>
          <w:u w:val="single"/>
        </w:rPr>
        <w:t xml:space="preserve">-1 / Les </w:t>
      </w:r>
      <w:r w:rsidR="001C3C79">
        <w:rPr>
          <w:b/>
          <w:color w:val="000080"/>
          <w:sz w:val="32"/>
          <w:u w:val="single"/>
        </w:rPr>
        <w:t>produits :</w:t>
      </w:r>
    </w:p>
    <w:tbl>
      <w:tblPr>
        <w:tblW w:w="8701" w:type="dxa"/>
        <w:tblLayout w:type="fixed"/>
        <w:tblCellMar>
          <w:left w:w="54" w:type="dxa"/>
          <w:right w:w="54" w:type="dxa"/>
        </w:tblCellMar>
        <w:tblLook w:val="0000"/>
      </w:tblPr>
      <w:tblGrid>
        <w:gridCol w:w="1330"/>
        <w:gridCol w:w="1418"/>
        <w:gridCol w:w="1701"/>
        <w:gridCol w:w="1842"/>
        <w:gridCol w:w="1418"/>
        <w:gridCol w:w="992"/>
      </w:tblGrid>
      <w:tr w:rsidR="00261131" w:rsidTr="00F13718">
        <w:trPr>
          <w:cantSplit/>
          <w:trHeight w:val="480"/>
        </w:trPr>
        <w:tc>
          <w:tcPr>
            <w:tcW w:w="1330" w:type="dxa"/>
            <w:tcBorders>
              <w:top w:val="single" w:sz="12" w:space="0" w:color="auto"/>
              <w:left w:val="single" w:sz="12" w:space="0" w:color="auto"/>
              <w:bottom w:val="nil"/>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center"/>
              <w:rPr>
                <w:b/>
                <w:sz w:val="20"/>
                <w:szCs w:val="20"/>
              </w:rPr>
            </w:pPr>
            <w:r w:rsidRPr="004E6AFC">
              <w:rPr>
                <w:b/>
                <w:sz w:val="20"/>
                <w:szCs w:val="20"/>
              </w:rPr>
              <w:t>RUBRIQUES</w:t>
            </w:r>
          </w:p>
        </w:tc>
        <w:tc>
          <w:tcPr>
            <w:tcW w:w="4961" w:type="dxa"/>
            <w:gridSpan w:val="3"/>
            <w:tcBorders>
              <w:top w:val="single" w:sz="12" w:space="0" w:color="auto"/>
              <w:left w:val="single" w:sz="12" w:space="0" w:color="auto"/>
              <w:bottom w:val="single" w:sz="12" w:space="0" w:color="auto"/>
              <w:right w:val="nil"/>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center"/>
              <w:rPr>
                <w:b/>
                <w:sz w:val="20"/>
                <w:szCs w:val="20"/>
              </w:rPr>
            </w:pPr>
            <w:r w:rsidRPr="004E6AFC">
              <w:rPr>
                <w:b/>
                <w:sz w:val="20"/>
                <w:szCs w:val="20"/>
              </w:rPr>
              <w:t>REALISATIONS</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center"/>
              <w:rPr>
                <w:b/>
                <w:sz w:val="20"/>
                <w:szCs w:val="20"/>
              </w:rPr>
            </w:pPr>
            <w:r w:rsidRPr="004E6AFC">
              <w:rPr>
                <w:b/>
                <w:sz w:val="20"/>
                <w:szCs w:val="20"/>
              </w:rPr>
              <w:t>PREVISIONS</w:t>
            </w:r>
          </w:p>
        </w:tc>
      </w:tr>
      <w:tr w:rsidR="00261131" w:rsidTr="00F13718">
        <w:trPr>
          <w:cantSplit/>
          <w:trHeight w:val="435"/>
        </w:trPr>
        <w:tc>
          <w:tcPr>
            <w:tcW w:w="1330" w:type="dxa"/>
            <w:tcBorders>
              <w:top w:val="nil"/>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center"/>
              <w:rPr>
                <w:b/>
                <w:sz w:val="20"/>
                <w:szCs w:val="20"/>
              </w:rPr>
            </w:pPr>
          </w:p>
        </w:tc>
        <w:tc>
          <w:tcPr>
            <w:tcW w:w="1418"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center"/>
              <w:rPr>
                <w:b/>
                <w:sz w:val="20"/>
                <w:szCs w:val="20"/>
              </w:rPr>
            </w:pPr>
            <w:r>
              <w:rPr>
                <w:b/>
                <w:sz w:val="20"/>
                <w:szCs w:val="20"/>
              </w:rPr>
              <w:t>1er Semestre 20</w:t>
            </w:r>
            <w:r w:rsidR="004F54A2">
              <w:rPr>
                <w:b/>
                <w:sz w:val="20"/>
                <w:szCs w:val="20"/>
              </w:rPr>
              <w:t>2</w:t>
            </w:r>
            <w:r w:rsidR="00E01CE2">
              <w:rPr>
                <w:b/>
                <w:sz w:val="20"/>
                <w:szCs w:val="20"/>
              </w:rPr>
              <w:t>1</w:t>
            </w:r>
          </w:p>
        </w:tc>
        <w:tc>
          <w:tcPr>
            <w:tcW w:w="1701"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4E6AFC" w:rsidRDefault="000C7817" w:rsidP="00261131">
            <w:pPr>
              <w:framePr w:hSpace="141" w:wrap="around" w:vAnchor="text" w:hAnchor="page" w:x="1880" w:y="518"/>
              <w:widowControl w:val="0"/>
              <w:autoSpaceDE w:val="0"/>
              <w:autoSpaceDN w:val="0"/>
              <w:adjustRightInd w:val="0"/>
              <w:jc w:val="center"/>
              <w:rPr>
                <w:b/>
                <w:sz w:val="20"/>
                <w:szCs w:val="20"/>
              </w:rPr>
            </w:pPr>
            <w:r>
              <w:rPr>
                <w:b/>
                <w:sz w:val="20"/>
                <w:szCs w:val="20"/>
              </w:rPr>
              <w:t>1er Semestre 20</w:t>
            </w:r>
            <w:r w:rsidR="009928F8">
              <w:rPr>
                <w:b/>
                <w:sz w:val="20"/>
                <w:szCs w:val="20"/>
              </w:rPr>
              <w:t>2</w:t>
            </w:r>
            <w:r w:rsidR="00E01CE2">
              <w:rPr>
                <w:b/>
                <w:sz w:val="20"/>
                <w:szCs w:val="20"/>
              </w:rPr>
              <w:t>2</w:t>
            </w:r>
          </w:p>
        </w:tc>
        <w:tc>
          <w:tcPr>
            <w:tcW w:w="1842"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center"/>
              <w:rPr>
                <w:b/>
                <w:sz w:val="20"/>
                <w:szCs w:val="20"/>
              </w:rPr>
            </w:pPr>
            <w:r>
              <w:rPr>
                <w:b/>
                <w:sz w:val="20"/>
                <w:szCs w:val="20"/>
              </w:rPr>
              <w:t>Evolution en %</w:t>
            </w:r>
          </w:p>
        </w:tc>
        <w:tc>
          <w:tcPr>
            <w:tcW w:w="1418"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center"/>
              <w:rPr>
                <w:b/>
                <w:sz w:val="20"/>
                <w:szCs w:val="20"/>
              </w:rPr>
            </w:pPr>
            <w:r>
              <w:rPr>
                <w:b/>
                <w:sz w:val="20"/>
                <w:szCs w:val="20"/>
              </w:rPr>
              <w:t>1er Semestre 20</w:t>
            </w:r>
            <w:r w:rsidR="004F54A2">
              <w:rPr>
                <w:b/>
                <w:sz w:val="20"/>
                <w:szCs w:val="20"/>
              </w:rPr>
              <w:t>2</w:t>
            </w:r>
            <w:r w:rsidR="00E01CE2">
              <w:rPr>
                <w:b/>
                <w:sz w:val="20"/>
                <w:szCs w:val="20"/>
              </w:rPr>
              <w:t>2</w:t>
            </w:r>
          </w:p>
        </w:tc>
        <w:tc>
          <w:tcPr>
            <w:tcW w:w="992"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center"/>
              <w:rPr>
                <w:b/>
                <w:sz w:val="20"/>
                <w:szCs w:val="20"/>
              </w:rPr>
            </w:pPr>
            <w:r>
              <w:rPr>
                <w:b/>
                <w:sz w:val="20"/>
                <w:szCs w:val="20"/>
              </w:rPr>
              <w:t>Ecarts en %</w:t>
            </w:r>
          </w:p>
        </w:tc>
      </w:tr>
      <w:tr w:rsidR="00261131" w:rsidTr="00B63AD9">
        <w:trPr>
          <w:trHeight w:val="671"/>
        </w:trPr>
        <w:tc>
          <w:tcPr>
            <w:tcW w:w="1330" w:type="dxa"/>
            <w:tcBorders>
              <w:top w:val="single" w:sz="12" w:space="0" w:color="auto"/>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Chambres</w:t>
            </w:r>
          </w:p>
        </w:tc>
        <w:tc>
          <w:tcPr>
            <w:tcW w:w="1418" w:type="dxa"/>
            <w:tcBorders>
              <w:top w:val="single" w:sz="12" w:space="0" w:color="auto"/>
              <w:left w:val="single" w:sz="12" w:space="0" w:color="auto"/>
              <w:bottom w:val="single" w:sz="12" w:space="0" w:color="auto"/>
              <w:right w:val="single" w:sz="12" w:space="0" w:color="auto"/>
            </w:tcBorders>
            <w:vAlign w:val="center"/>
          </w:tcPr>
          <w:p w:rsidR="00261131" w:rsidRPr="004E6AFC" w:rsidRDefault="00E01CE2" w:rsidP="00E01CE2">
            <w:pPr>
              <w:framePr w:hSpace="141" w:wrap="around" w:vAnchor="text" w:hAnchor="page" w:x="1880" w:y="518"/>
              <w:widowControl w:val="0"/>
              <w:autoSpaceDE w:val="0"/>
              <w:autoSpaceDN w:val="0"/>
              <w:adjustRightInd w:val="0"/>
              <w:jc w:val="right"/>
              <w:rPr>
                <w:b/>
                <w:sz w:val="20"/>
                <w:szCs w:val="20"/>
              </w:rPr>
            </w:pPr>
            <w:r>
              <w:rPr>
                <w:b/>
                <w:sz w:val="20"/>
                <w:szCs w:val="20"/>
              </w:rPr>
              <w:t>172</w:t>
            </w:r>
            <w:r w:rsidR="00261131">
              <w:rPr>
                <w:b/>
                <w:sz w:val="20"/>
                <w:szCs w:val="20"/>
              </w:rPr>
              <w:t>.</w:t>
            </w:r>
            <w:r>
              <w:rPr>
                <w:b/>
                <w:sz w:val="20"/>
                <w:szCs w:val="20"/>
              </w:rPr>
              <w:t>268</w:t>
            </w:r>
            <w:r w:rsidR="00261131">
              <w:rPr>
                <w:b/>
                <w:sz w:val="20"/>
                <w:szCs w:val="20"/>
              </w:rPr>
              <w:t>.</w:t>
            </w:r>
            <w:r>
              <w:rPr>
                <w:b/>
                <w:sz w:val="20"/>
                <w:szCs w:val="20"/>
              </w:rPr>
              <w:t>594</w:t>
            </w:r>
          </w:p>
        </w:tc>
        <w:tc>
          <w:tcPr>
            <w:tcW w:w="1701" w:type="dxa"/>
            <w:tcBorders>
              <w:top w:val="single" w:sz="12" w:space="0" w:color="auto"/>
              <w:left w:val="single" w:sz="12" w:space="0" w:color="auto"/>
              <w:bottom w:val="single" w:sz="12" w:space="0" w:color="auto"/>
              <w:right w:val="single" w:sz="12" w:space="0" w:color="auto"/>
            </w:tcBorders>
            <w:vAlign w:val="center"/>
          </w:tcPr>
          <w:p w:rsidR="00C64DC3" w:rsidRPr="004E6AFC" w:rsidRDefault="00C64DC3" w:rsidP="00C64DC3">
            <w:pPr>
              <w:framePr w:hSpace="141" w:wrap="around" w:vAnchor="text" w:hAnchor="page" w:x="1880" w:y="518"/>
              <w:widowControl w:val="0"/>
              <w:autoSpaceDE w:val="0"/>
              <w:autoSpaceDN w:val="0"/>
              <w:adjustRightInd w:val="0"/>
              <w:jc w:val="center"/>
              <w:rPr>
                <w:b/>
                <w:sz w:val="20"/>
                <w:szCs w:val="20"/>
              </w:rPr>
            </w:pPr>
            <w:r>
              <w:rPr>
                <w:b/>
                <w:sz w:val="20"/>
                <w:szCs w:val="20"/>
              </w:rPr>
              <w:t>303</w:t>
            </w:r>
            <w:r w:rsidR="0012073A">
              <w:rPr>
                <w:b/>
                <w:sz w:val="20"/>
                <w:szCs w:val="20"/>
              </w:rPr>
              <w:t>.</w:t>
            </w:r>
            <w:r>
              <w:rPr>
                <w:b/>
                <w:sz w:val="20"/>
                <w:szCs w:val="20"/>
              </w:rPr>
              <w:t>364</w:t>
            </w:r>
            <w:r w:rsidR="0012073A">
              <w:rPr>
                <w:b/>
                <w:sz w:val="20"/>
                <w:szCs w:val="20"/>
              </w:rPr>
              <w:t>.</w:t>
            </w:r>
            <w:r>
              <w:rPr>
                <w:b/>
                <w:sz w:val="20"/>
                <w:szCs w:val="20"/>
              </w:rPr>
              <w:t>123</w:t>
            </w:r>
          </w:p>
        </w:tc>
        <w:tc>
          <w:tcPr>
            <w:tcW w:w="1842" w:type="dxa"/>
            <w:tcBorders>
              <w:top w:val="single" w:sz="12" w:space="0" w:color="auto"/>
              <w:left w:val="single" w:sz="12" w:space="0" w:color="auto"/>
              <w:bottom w:val="single" w:sz="12" w:space="0" w:color="auto"/>
              <w:right w:val="single" w:sz="12" w:space="0" w:color="auto"/>
            </w:tcBorders>
            <w:vAlign w:val="center"/>
          </w:tcPr>
          <w:p w:rsidR="00261131" w:rsidRPr="004E6AFC" w:rsidRDefault="00CB797E" w:rsidP="008525EF">
            <w:pPr>
              <w:framePr w:hSpace="141" w:wrap="around" w:vAnchor="text" w:hAnchor="page" w:x="1880" w:y="518"/>
              <w:widowControl w:val="0"/>
              <w:autoSpaceDE w:val="0"/>
              <w:autoSpaceDN w:val="0"/>
              <w:adjustRightInd w:val="0"/>
              <w:rPr>
                <w:b/>
                <w:sz w:val="20"/>
                <w:szCs w:val="20"/>
              </w:rPr>
            </w:pPr>
            <w:r>
              <w:rPr>
                <w:b/>
                <w:sz w:val="20"/>
                <w:szCs w:val="20"/>
              </w:rPr>
              <w:t xml:space="preserve">  +76,1</w:t>
            </w:r>
          </w:p>
        </w:tc>
        <w:tc>
          <w:tcPr>
            <w:tcW w:w="1418" w:type="dxa"/>
            <w:tcBorders>
              <w:top w:val="single" w:sz="12" w:space="0" w:color="auto"/>
              <w:left w:val="single" w:sz="12" w:space="0" w:color="auto"/>
              <w:bottom w:val="single" w:sz="12" w:space="0" w:color="auto"/>
              <w:right w:val="single" w:sz="12" w:space="0" w:color="auto"/>
            </w:tcBorders>
            <w:vAlign w:val="center"/>
          </w:tcPr>
          <w:p w:rsidR="00261131" w:rsidRPr="004E6AFC" w:rsidRDefault="00E9180A" w:rsidP="00E9180A">
            <w:pPr>
              <w:framePr w:hSpace="141" w:wrap="around" w:vAnchor="text" w:hAnchor="page" w:x="1880" w:y="518"/>
              <w:widowControl w:val="0"/>
              <w:autoSpaceDE w:val="0"/>
              <w:autoSpaceDN w:val="0"/>
              <w:adjustRightInd w:val="0"/>
              <w:jc w:val="center"/>
              <w:rPr>
                <w:b/>
                <w:sz w:val="20"/>
                <w:szCs w:val="20"/>
              </w:rPr>
            </w:pPr>
            <w:r>
              <w:rPr>
                <w:b/>
                <w:sz w:val="20"/>
                <w:szCs w:val="20"/>
              </w:rPr>
              <w:t>244</w:t>
            </w:r>
            <w:r w:rsidR="000C7817">
              <w:rPr>
                <w:b/>
                <w:sz w:val="20"/>
                <w:szCs w:val="20"/>
              </w:rPr>
              <w:t>.</w:t>
            </w:r>
            <w:r>
              <w:rPr>
                <w:b/>
                <w:sz w:val="20"/>
                <w:szCs w:val="20"/>
              </w:rPr>
              <w:t>712</w:t>
            </w:r>
            <w:r w:rsidR="000C7817">
              <w:rPr>
                <w:b/>
                <w:sz w:val="20"/>
                <w:szCs w:val="20"/>
              </w:rPr>
              <w:t>.</w:t>
            </w:r>
            <w:r>
              <w:rPr>
                <w:b/>
                <w:sz w:val="20"/>
                <w:szCs w:val="20"/>
              </w:rPr>
              <w:t>500</w:t>
            </w:r>
          </w:p>
        </w:tc>
        <w:tc>
          <w:tcPr>
            <w:tcW w:w="992" w:type="dxa"/>
            <w:tcBorders>
              <w:top w:val="single" w:sz="12" w:space="0" w:color="auto"/>
              <w:left w:val="single" w:sz="12" w:space="0" w:color="auto"/>
              <w:bottom w:val="single" w:sz="12" w:space="0" w:color="auto"/>
              <w:right w:val="single" w:sz="12" w:space="0" w:color="auto"/>
            </w:tcBorders>
            <w:vAlign w:val="center"/>
          </w:tcPr>
          <w:p w:rsidR="00261131" w:rsidRPr="004E6AFC" w:rsidRDefault="00CB797E" w:rsidP="00914370">
            <w:pPr>
              <w:framePr w:hSpace="141" w:wrap="around" w:vAnchor="text" w:hAnchor="page" w:x="1880" w:y="518"/>
              <w:widowControl w:val="0"/>
              <w:autoSpaceDE w:val="0"/>
              <w:autoSpaceDN w:val="0"/>
              <w:adjustRightInd w:val="0"/>
              <w:rPr>
                <w:b/>
                <w:sz w:val="20"/>
                <w:szCs w:val="20"/>
              </w:rPr>
            </w:pPr>
            <w:r>
              <w:rPr>
                <w:b/>
                <w:sz w:val="20"/>
                <w:szCs w:val="20"/>
              </w:rPr>
              <w:t>+24,0</w:t>
            </w:r>
          </w:p>
        </w:tc>
      </w:tr>
      <w:tr w:rsidR="00261131" w:rsidTr="00F13718">
        <w:trPr>
          <w:trHeight w:val="480"/>
        </w:trPr>
        <w:tc>
          <w:tcPr>
            <w:tcW w:w="1330" w:type="dxa"/>
            <w:tcBorders>
              <w:top w:val="single" w:sz="12" w:space="0" w:color="auto"/>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Denrées</w:t>
            </w:r>
          </w:p>
        </w:tc>
        <w:tc>
          <w:tcPr>
            <w:tcW w:w="1418" w:type="dxa"/>
            <w:tcBorders>
              <w:top w:val="single" w:sz="12" w:space="0" w:color="auto"/>
              <w:left w:val="single" w:sz="12" w:space="0" w:color="auto"/>
              <w:bottom w:val="single" w:sz="12" w:space="0" w:color="auto"/>
              <w:right w:val="single" w:sz="12" w:space="0" w:color="auto"/>
            </w:tcBorders>
            <w:vAlign w:val="center"/>
          </w:tcPr>
          <w:p w:rsidR="00261131" w:rsidRPr="004E6AFC" w:rsidRDefault="00E01CE2" w:rsidP="00E01CE2">
            <w:pPr>
              <w:framePr w:hSpace="141" w:wrap="around" w:vAnchor="text" w:hAnchor="page" w:x="1880" w:y="518"/>
              <w:widowControl w:val="0"/>
              <w:autoSpaceDE w:val="0"/>
              <w:autoSpaceDN w:val="0"/>
              <w:adjustRightInd w:val="0"/>
              <w:jc w:val="right"/>
              <w:rPr>
                <w:b/>
                <w:sz w:val="20"/>
                <w:szCs w:val="20"/>
              </w:rPr>
            </w:pPr>
            <w:r>
              <w:rPr>
                <w:b/>
                <w:sz w:val="20"/>
                <w:szCs w:val="20"/>
              </w:rPr>
              <w:t>143</w:t>
            </w:r>
            <w:r w:rsidR="00261131">
              <w:rPr>
                <w:b/>
                <w:sz w:val="20"/>
                <w:szCs w:val="20"/>
              </w:rPr>
              <w:t>.</w:t>
            </w:r>
            <w:r>
              <w:rPr>
                <w:b/>
                <w:sz w:val="20"/>
                <w:szCs w:val="20"/>
              </w:rPr>
              <w:t>528</w:t>
            </w:r>
            <w:r w:rsidR="000C7817">
              <w:rPr>
                <w:b/>
                <w:sz w:val="20"/>
                <w:szCs w:val="20"/>
              </w:rPr>
              <w:t>.</w:t>
            </w:r>
            <w:r>
              <w:rPr>
                <w:b/>
                <w:sz w:val="20"/>
                <w:szCs w:val="20"/>
              </w:rPr>
              <w:t>787</w:t>
            </w:r>
          </w:p>
        </w:tc>
        <w:tc>
          <w:tcPr>
            <w:tcW w:w="1701" w:type="dxa"/>
            <w:tcBorders>
              <w:top w:val="single" w:sz="12" w:space="0" w:color="auto"/>
              <w:left w:val="single" w:sz="12" w:space="0" w:color="auto"/>
              <w:bottom w:val="single" w:sz="12" w:space="0" w:color="auto"/>
              <w:right w:val="single" w:sz="12" w:space="0" w:color="auto"/>
            </w:tcBorders>
            <w:vAlign w:val="center"/>
          </w:tcPr>
          <w:p w:rsidR="00261131" w:rsidRPr="004E6AFC" w:rsidRDefault="00C64DC3" w:rsidP="00C64DC3">
            <w:pPr>
              <w:framePr w:hSpace="141" w:wrap="around" w:vAnchor="text" w:hAnchor="page" w:x="1880" w:y="518"/>
              <w:widowControl w:val="0"/>
              <w:autoSpaceDE w:val="0"/>
              <w:autoSpaceDN w:val="0"/>
              <w:adjustRightInd w:val="0"/>
              <w:jc w:val="center"/>
              <w:rPr>
                <w:b/>
                <w:sz w:val="20"/>
                <w:szCs w:val="20"/>
              </w:rPr>
            </w:pPr>
            <w:r>
              <w:rPr>
                <w:b/>
                <w:sz w:val="20"/>
                <w:szCs w:val="20"/>
              </w:rPr>
              <w:t>260</w:t>
            </w:r>
            <w:r w:rsidR="0012073A">
              <w:rPr>
                <w:b/>
                <w:sz w:val="20"/>
                <w:szCs w:val="20"/>
              </w:rPr>
              <w:t>.</w:t>
            </w:r>
            <w:r>
              <w:rPr>
                <w:b/>
                <w:sz w:val="20"/>
                <w:szCs w:val="20"/>
              </w:rPr>
              <w:t>076</w:t>
            </w:r>
            <w:r w:rsidR="0012073A">
              <w:rPr>
                <w:b/>
                <w:sz w:val="20"/>
                <w:szCs w:val="20"/>
              </w:rPr>
              <w:t>.</w:t>
            </w:r>
            <w:r>
              <w:rPr>
                <w:b/>
                <w:sz w:val="20"/>
                <w:szCs w:val="20"/>
              </w:rPr>
              <w:t>886</w:t>
            </w:r>
          </w:p>
        </w:tc>
        <w:tc>
          <w:tcPr>
            <w:tcW w:w="1842" w:type="dxa"/>
            <w:tcBorders>
              <w:top w:val="single" w:sz="12" w:space="0" w:color="auto"/>
              <w:left w:val="single" w:sz="12" w:space="0" w:color="auto"/>
              <w:bottom w:val="single" w:sz="12" w:space="0" w:color="auto"/>
              <w:right w:val="single" w:sz="12" w:space="0" w:color="auto"/>
            </w:tcBorders>
            <w:vAlign w:val="center"/>
          </w:tcPr>
          <w:p w:rsidR="00261131" w:rsidRPr="002346B0" w:rsidRDefault="00CB797E" w:rsidP="008525EF">
            <w:pPr>
              <w:framePr w:hSpace="141" w:wrap="around" w:vAnchor="text" w:hAnchor="page" w:x="1880" w:y="518"/>
              <w:widowControl w:val="0"/>
              <w:autoSpaceDE w:val="0"/>
              <w:autoSpaceDN w:val="0"/>
              <w:adjustRightInd w:val="0"/>
              <w:rPr>
                <w:b/>
                <w:sz w:val="20"/>
                <w:szCs w:val="20"/>
              </w:rPr>
            </w:pPr>
            <w:r>
              <w:rPr>
                <w:b/>
                <w:sz w:val="20"/>
                <w:szCs w:val="20"/>
              </w:rPr>
              <w:t>+81,2</w:t>
            </w:r>
          </w:p>
        </w:tc>
        <w:tc>
          <w:tcPr>
            <w:tcW w:w="1418" w:type="dxa"/>
            <w:tcBorders>
              <w:top w:val="single" w:sz="12" w:space="0" w:color="auto"/>
              <w:left w:val="single" w:sz="12" w:space="0" w:color="auto"/>
              <w:bottom w:val="single" w:sz="12" w:space="0" w:color="auto"/>
              <w:right w:val="single" w:sz="12" w:space="0" w:color="auto"/>
            </w:tcBorders>
            <w:vAlign w:val="center"/>
          </w:tcPr>
          <w:p w:rsidR="00261131" w:rsidRPr="004E6AFC" w:rsidRDefault="00E9180A" w:rsidP="00E9180A">
            <w:pPr>
              <w:framePr w:hSpace="141" w:wrap="around" w:vAnchor="text" w:hAnchor="page" w:x="1880" w:y="518"/>
              <w:widowControl w:val="0"/>
              <w:autoSpaceDE w:val="0"/>
              <w:autoSpaceDN w:val="0"/>
              <w:adjustRightInd w:val="0"/>
              <w:rPr>
                <w:b/>
                <w:sz w:val="20"/>
                <w:szCs w:val="20"/>
              </w:rPr>
            </w:pPr>
            <w:r>
              <w:rPr>
                <w:b/>
                <w:sz w:val="20"/>
                <w:szCs w:val="20"/>
              </w:rPr>
              <w:t>171</w:t>
            </w:r>
            <w:r w:rsidR="000C7817">
              <w:rPr>
                <w:b/>
                <w:sz w:val="20"/>
                <w:szCs w:val="20"/>
              </w:rPr>
              <w:t>.</w:t>
            </w:r>
            <w:r>
              <w:rPr>
                <w:b/>
                <w:sz w:val="20"/>
                <w:szCs w:val="20"/>
              </w:rPr>
              <w:t>884</w:t>
            </w:r>
            <w:r w:rsidR="000C7817">
              <w:rPr>
                <w:b/>
                <w:sz w:val="20"/>
                <w:szCs w:val="20"/>
              </w:rPr>
              <w:t>.</w:t>
            </w:r>
            <w:r>
              <w:rPr>
                <w:b/>
                <w:sz w:val="20"/>
                <w:szCs w:val="20"/>
              </w:rPr>
              <w:t>700</w:t>
            </w:r>
          </w:p>
        </w:tc>
        <w:tc>
          <w:tcPr>
            <w:tcW w:w="992" w:type="dxa"/>
            <w:tcBorders>
              <w:top w:val="single" w:sz="12" w:space="0" w:color="auto"/>
              <w:left w:val="single" w:sz="12" w:space="0" w:color="auto"/>
              <w:bottom w:val="single" w:sz="12" w:space="0" w:color="auto"/>
              <w:right w:val="single" w:sz="12" w:space="0" w:color="auto"/>
            </w:tcBorders>
            <w:vAlign w:val="center"/>
          </w:tcPr>
          <w:p w:rsidR="00261131" w:rsidRPr="004E6AFC" w:rsidRDefault="00CB797E" w:rsidP="00511600">
            <w:pPr>
              <w:framePr w:hSpace="141" w:wrap="around" w:vAnchor="text" w:hAnchor="page" w:x="1880" w:y="518"/>
              <w:widowControl w:val="0"/>
              <w:autoSpaceDE w:val="0"/>
              <w:autoSpaceDN w:val="0"/>
              <w:adjustRightInd w:val="0"/>
              <w:rPr>
                <w:b/>
                <w:sz w:val="20"/>
                <w:szCs w:val="20"/>
              </w:rPr>
            </w:pPr>
            <w:r>
              <w:rPr>
                <w:b/>
                <w:sz w:val="20"/>
                <w:szCs w:val="20"/>
              </w:rPr>
              <w:t xml:space="preserve"> +51,3</w:t>
            </w:r>
          </w:p>
        </w:tc>
      </w:tr>
      <w:tr w:rsidR="00261131" w:rsidTr="00F13718">
        <w:trPr>
          <w:trHeight w:val="465"/>
        </w:trPr>
        <w:tc>
          <w:tcPr>
            <w:tcW w:w="1330" w:type="dxa"/>
            <w:tcBorders>
              <w:top w:val="single" w:sz="12" w:space="0" w:color="auto"/>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Boissons</w:t>
            </w:r>
          </w:p>
        </w:tc>
        <w:tc>
          <w:tcPr>
            <w:tcW w:w="1418" w:type="dxa"/>
            <w:tcBorders>
              <w:top w:val="single" w:sz="12" w:space="0" w:color="auto"/>
              <w:left w:val="single" w:sz="12" w:space="0" w:color="auto"/>
              <w:bottom w:val="single" w:sz="12" w:space="0" w:color="auto"/>
              <w:right w:val="single" w:sz="12" w:space="0" w:color="auto"/>
            </w:tcBorders>
            <w:vAlign w:val="center"/>
          </w:tcPr>
          <w:p w:rsidR="00261131" w:rsidRPr="004E6AFC" w:rsidRDefault="00E01CE2" w:rsidP="00E01CE2">
            <w:pPr>
              <w:framePr w:hSpace="141" w:wrap="around" w:vAnchor="text" w:hAnchor="page" w:x="1880" w:y="518"/>
              <w:widowControl w:val="0"/>
              <w:autoSpaceDE w:val="0"/>
              <w:autoSpaceDN w:val="0"/>
              <w:adjustRightInd w:val="0"/>
              <w:jc w:val="right"/>
              <w:rPr>
                <w:b/>
                <w:sz w:val="20"/>
                <w:szCs w:val="20"/>
              </w:rPr>
            </w:pPr>
            <w:r>
              <w:rPr>
                <w:b/>
                <w:sz w:val="20"/>
                <w:szCs w:val="20"/>
              </w:rPr>
              <w:t>49</w:t>
            </w:r>
            <w:r w:rsidR="00261131">
              <w:rPr>
                <w:b/>
                <w:sz w:val="20"/>
                <w:szCs w:val="20"/>
              </w:rPr>
              <w:t>.</w:t>
            </w:r>
            <w:r>
              <w:rPr>
                <w:b/>
                <w:sz w:val="20"/>
                <w:szCs w:val="20"/>
              </w:rPr>
              <w:t>750</w:t>
            </w:r>
            <w:r w:rsidR="00261131">
              <w:rPr>
                <w:b/>
                <w:sz w:val="20"/>
                <w:szCs w:val="20"/>
              </w:rPr>
              <w:t>.</w:t>
            </w:r>
            <w:r>
              <w:rPr>
                <w:b/>
                <w:sz w:val="20"/>
                <w:szCs w:val="20"/>
              </w:rPr>
              <w:t>164</w:t>
            </w:r>
          </w:p>
        </w:tc>
        <w:tc>
          <w:tcPr>
            <w:tcW w:w="1701" w:type="dxa"/>
            <w:tcBorders>
              <w:top w:val="single" w:sz="12" w:space="0" w:color="auto"/>
              <w:left w:val="single" w:sz="12" w:space="0" w:color="auto"/>
              <w:bottom w:val="single" w:sz="12" w:space="0" w:color="auto"/>
              <w:right w:val="single" w:sz="12" w:space="0" w:color="auto"/>
            </w:tcBorders>
            <w:vAlign w:val="center"/>
          </w:tcPr>
          <w:p w:rsidR="00261131" w:rsidRPr="004E6AFC" w:rsidRDefault="0012073A" w:rsidP="008525EF">
            <w:pPr>
              <w:framePr w:hSpace="141" w:wrap="around" w:vAnchor="text" w:hAnchor="page" w:x="1880" w:y="518"/>
              <w:widowControl w:val="0"/>
              <w:autoSpaceDE w:val="0"/>
              <w:autoSpaceDN w:val="0"/>
              <w:adjustRightInd w:val="0"/>
              <w:jc w:val="center"/>
              <w:rPr>
                <w:b/>
                <w:sz w:val="20"/>
                <w:szCs w:val="20"/>
              </w:rPr>
            </w:pPr>
            <w:r>
              <w:rPr>
                <w:b/>
                <w:sz w:val="20"/>
                <w:szCs w:val="20"/>
              </w:rPr>
              <w:t>69.354.800</w:t>
            </w:r>
          </w:p>
        </w:tc>
        <w:tc>
          <w:tcPr>
            <w:tcW w:w="1842" w:type="dxa"/>
            <w:tcBorders>
              <w:top w:val="single" w:sz="12" w:space="0" w:color="auto"/>
              <w:left w:val="single" w:sz="12" w:space="0" w:color="auto"/>
              <w:bottom w:val="single" w:sz="12" w:space="0" w:color="auto"/>
              <w:right w:val="single" w:sz="12" w:space="0" w:color="auto"/>
            </w:tcBorders>
            <w:vAlign w:val="center"/>
          </w:tcPr>
          <w:p w:rsidR="00261131" w:rsidRPr="004E6AFC" w:rsidRDefault="00CB797E" w:rsidP="00511600">
            <w:pPr>
              <w:framePr w:hSpace="141" w:wrap="around" w:vAnchor="text" w:hAnchor="page" w:x="1880" w:y="518"/>
              <w:widowControl w:val="0"/>
              <w:autoSpaceDE w:val="0"/>
              <w:autoSpaceDN w:val="0"/>
              <w:adjustRightInd w:val="0"/>
              <w:rPr>
                <w:b/>
                <w:sz w:val="20"/>
                <w:szCs w:val="20"/>
              </w:rPr>
            </w:pPr>
            <w:r>
              <w:rPr>
                <w:b/>
                <w:sz w:val="20"/>
                <w:szCs w:val="20"/>
              </w:rPr>
              <w:t xml:space="preserve"> +39,4</w:t>
            </w:r>
          </w:p>
        </w:tc>
        <w:tc>
          <w:tcPr>
            <w:tcW w:w="1418" w:type="dxa"/>
            <w:tcBorders>
              <w:top w:val="single" w:sz="12" w:space="0" w:color="auto"/>
              <w:left w:val="single" w:sz="12" w:space="0" w:color="auto"/>
              <w:bottom w:val="single" w:sz="12" w:space="0" w:color="auto"/>
              <w:right w:val="single" w:sz="12" w:space="0" w:color="auto"/>
            </w:tcBorders>
            <w:vAlign w:val="center"/>
          </w:tcPr>
          <w:p w:rsidR="00261131" w:rsidRPr="004E6AFC" w:rsidRDefault="00E9180A" w:rsidP="00E9180A">
            <w:pPr>
              <w:framePr w:hSpace="141" w:wrap="around" w:vAnchor="text" w:hAnchor="page" w:x="1880" w:y="518"/>
              <w:widowControl w:val="0"/>
              <w:autoSpaceDE w:val="0"/>
              <w:autoSpaceDN w:val="0"/>
              <w:adjustRightInd w:val="0"/>
              <w:rPr>
                <w:b/>
                <w:sz w:val="20"/>
                <w:szCs w:val="20"/>
              </w:rPr>
            </w:pPr>
            <w:r>
              <w:rPr>
                <w:b/>
                <w:sz w:val="20"/>
                <w:szCs w:val="20"/>
              </w:rPr>
              <w:t>58</w:t>
            </w:r>
            <w:r w:rsidR="000C7817">
              <w:rPr>
                <w:b/>
                <w:sz w:val="20"/>
                <w:szCs w:val="20"/>
              </w:rPr>
              <w:t>.</w:t>
            </w:r>
            <w:r>
              <w:rPr>
                <w:b/>
                <w:sz w:val="20"/>
                <w:szCs w:val="20"/>
              </w:rPr>
              <w:t>225</w:t>
            </w:r>
            <w:r w:rsidR="000C7817">
              <w:rPr>
                <w:b/>
                <w:sz w:val="20"/>
                <w:szCs w:val="20"/>
              </w:rPr>
              <w:t>.</w:t>
            </w:r>
            <w:r>
              <w:rPr>
                <w:b/>
                <w:sz w:val="20"/>
                <w:szCs w:val="20"/>
              </w:rPr>
              <w:t>800</w:t>
            </w:r>
          </w:p>
        </w:tc>
        <w:tc>
          <w:tcPr>
            <w:tcW w:w="992" w:type="dxa"/>
            <w:tcBorders>
              <w:top w:val="single" w:sz="12" w:space="0" w:color="auto"/>
              <w:left w:val="single" w:sz="12" w:space="0" w:color="auto"/>
              <w:bottom w:val="single" w:sz="12" w:space="0" w:color="auto"/>
              <w:right w:val="single" w:sz="12" w:space="0" w:color="auto"/>
            </w:tcBorders>
            <w:vAlign w:val="center"/>
          </w:tcPr>
          <w:p w:rsidR="00261131" w:rsidRPr="004E6AFC" w:rsidRDefault="00CB797E" w:rsidP="00914370">
            <w:pPr>
              <w:framePr w:hSpace="141" w:wrap="around" w:vAnchor="text" w:hAnchor="page" w:x="1880" w:y="518"/>
              <w:widowControl w:val="0"/>
              <w:autoSpaceDE w:val="0"/>
              <w:autoSpaceDN w:val="0"/>
              <w:adjustRightInd w:val="0"/>
              <w:rPr>
                <w:b/>
                <w:sz w:val="20"/>
                <w:szCs w:val="20"/>
              </w:rPr>
            </w:pPr>
            <w:r>
              <w:rPr>
                <w:b/>
                <w:sz w:val="20"/>
                <w:szCs w:val="20"/>
              </w:rPr>
              <w:t xml:space="preserve">   +</w:t>
            </w:r>
            <w:r w:rsidR="000237F3">
              <w:rPr>
                <w:b/>
                <w:sz w:val="20"/>
                <w:szCs w:val="20"/>
              </w:rPr>
              <w:t>19,1</w:t>
            </w:r>
          </w:p>
        </w:tc>
      </w:tr>
      <w:tr w:rsidR="00261131" w:rsidTr="00F13718">
        <w:trPr>
          <w:trHeight w:val="450"/>
        </w:trPr>
        <w:tc>
          <w:tcPr>
            <w:tcW w:w="1330" w:type="dxa"/>
            <w:tcBorders>
              <w:top w:val="single" w:sz="12" w:space="0" w:color="auto"/>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Divers</w:t>
            </w:r>
          </w:p>
        </w:tc>
        <w:tc>
          <w:tcPr>
            <w:tcW w:w="1418" w:type="dxa"/>
            <w:tcBorders>
              <w:top w:val="single" w:sz="12" w:space="0" w:color="auto"/>
              <w:left w:val="single" w:sz="12" w:space="0" w:color="auto"/>
              <w:bottom w:val="single" w:sz="12" w:space="0" w:color="auto"/>
              <w:right w:val="single" w:sz="12" w:space="0" w:color="auto"/>
            </w:tcBorders>
            <w:vAlign w:val="center"/>
          </w:tcPr>
          <w:p w:rsidR="00261131" w:rsidRPr="004E6AFC" w:rsidRDefault="00E01CE2" w:rsidP="00E01CE2">
            <w:pPr>
              <w:framePr w:hSpace="141" w:wrap="around" w:vAnchor="text" w:hAnchor="page" w:x="1880" w:y="518"/>
              <w:widowControl w:val="0"/>
              <w:autoSpaceDE w:val="0"/>
              <w:autoSpaceDN w:val="0"/>
              <w:adjustRightInd w:val="0"/>
              <w:jc w:val="right"/>
              <w:rPr>
                <w:b/>
                <w:sz w:val="20"/>
                <w:szCs w:val="20"/>
              </w:rPr>
            </w:pPr>
            <w:r>
              <w:rPr>
                <w:b/>
                <w:sz w:val="20"/>
                <w:szCs w:val="20"/>
              </w:rPr>
              <w:t>38</w:t>
            </w:r>
            <w:r w:rsidR="00261131">
              <w:rPr>
                <w:b/>
                <w:sz w:val="20"/>
                <w:szCs w:val="20"/>
              </w:rPr>
              <w:t>.</w:t>
            </w:r>
            <w:r>
              <w:rPr>
                <w:b/>
                <w:sz w:val="20"/>
                <w:szCs w:val="20"/>
              </w:rPr>
              <w:t>832</w:t>
            </w:r>
            <w:r w:rsidR="00261131">
              <w:rPr>
                <w:b/>
                <w:sz w:val="20"/>
                <w:szCs w:val="20"/>
              </w:rPr>
              <w:t>.</w:t>
            </w:r>
            <w:r>
              <w:rPr>
                <w:b/>
                <w:sz w:val="20"/>
                <w:szCs w:val="20"/>
              </w:rPr>
              <w:t>476</w:t>
            </w:r>
          </w:p>
        </w:tc>
        <w:tc>
          <w:tcPr>
            <w:tcW w:w="1701" w:type="dxa"/>
            <w:tcBorders>
              <w:top w:val="single" w:sz="12" w:space="0" w:color="auto"/>
              <w:left w:val="single" w:sz="12" w:space="0" w:color="auto"/>
              <w:bottom w:val="single" w:sz="12" w:space="0" w:color="auto"/>
              <w:right w:val="single" w:sz="12" w:space="0" w:color="auto"/>
            </w:tcBorders>
            <w:vAlign w:val="center"/>
          </w:tcPr>
          <w:p w:rsidR="00261131" w:rsidRPr="004E6AFC" w:rsidRDefault="00CB797E" w:rsidP="00CB797E">
            <w:pPr>
              <w:framePr w:hSpace="141" w:wrap="around" w:vAnchor="text" w:hAnchor="page" w:x="1880" w:y="518"/>
              <w:widowControl w:val="0"/>
              <w:autoSpaceDE w:val="0"/>
              <w:autoSpaceDN w:val="0"/>
              <w:adjustRightInd w:val="0"/>
              <w:jc w:val="center"/>
              <w:rPr>
                <w:b/>
                <w:sz w:val="20"/>
                <w:szCs w:val="20"/>
              </w:rPr>
            </w:pPr>
            <w:r>
              <w:rPr>
                <w:b/>
                <w:sz w:val="20"/>
                <w:szCs w:val="20"/>
              </w:rPr>
              <w:t>48</w:t>
            </w:r>
            <w:r w:rsidR="0012073A">
              <w:rPr>
                <w:b/>
                <w:sz w:val="20"/>
                <w:szCs w:val="20"/>
              </w:rPr>
              <w:t>.</w:t>
            </w:r>
            <w:r>
              <w:rPr>
                <w:b/>
                <w:sz w:val="20"/>
                <w:szCs w:val="20"/>
              </w:rPr>
              <w:t>900</w:t>
            </w:r>
            <w:r w:rsidR="0012073A">
              <w:rPr>
                <w:b/>
                <w:sz w:val="20"/>
                <w:szCs w:val="20"/>
              </w:rPr>
              <w:t>.</w:t>
            </w:r>
            <w:r>
              <w:rPr>
                <w:b/>
                <w:sz w:val="20"/>
                <w:szCs w:val="20"/>
              </w:rPr>
              <w:t>602</w:t>
            </w:r>
          </w:p>
        </w:tc>
        <w:tc>
          <w:tcPr>
            <w:tcW w:w="1842" w:type="dxa"/>
            <w:tcBorders>
              <w:top w:val="single" w:sz="12" w:space="0" w:color="auto"/>
              <w:left w:val="single" w:sz="12" w:space="0" w:color="auto"/>
              <w:bottom w:val="single" w:sz="12" w:space="0" w:color="auto"/>
              <w:right w:val="single" w:sz="12" w:space="0" w:color="auto"/>
            </w:tcBorders>
            <w:vAlign w:val="center"/>
          </w:tcPr>
          <w:p w:rsidR="00261131" w:rsidRPr="004E6AFC" w:rsidRDefault="000237F3" w:rsidP="008525EF">
            <w:pPr>
              <w:framePr w:hSpace="141" w:wrap="around" w:vAnchor="text" w:hAnchor="page" w:x="1880" w:y="518"/>
              <w:widowControl w:val="0"/>
              <w:autoSpaceDE w:val="0"/>
              <w:autoSpaceDN w:val="0"/>
              <w:adjustRightInd w:val="0"/>
              <w:rPr>
                <w:b/>
                <w:sz w:val="20"/>
                <w:szCs w:val="20"/>
              </w:rPr>
            </w:pPr>
            <w:r>
              <w:rPr>
                <w:b/>
                <w:sz w:val="20"/>
                <w:szCs w:val="20"/>
              </w:rPr>
              <w:t>+25,9</w:t>
            </w:r>
          </w:p>
        </w:tc>
        <w:tc>
          <w:tcPr>
            <w:tcW w:w="1418" w:type="dxa"/>
            <w:tcBorders>
              <w:top w:val="single" w:sz="12" w:space="0" w:color="auto"/>
              <w:left w:val="single" w:sz="12" w:space="0" w:color="auto"/>
              <w:bottom w:val="single" w:sz="12" w:space="0" w:color="auto"/>
              <w:right w:val="single" w:sz="12" w:space="0" w:color="auto"/>
            </w:tcBorders>
            <w:vAlign w:val="center"/>
          </w:tcPr>
          <w:p w:rsidR="00261131" w:rsidRPr="004E6AFC" w:rsidRDefault="00E9180A" w:rsidP="00E9180A">
            <w:pPr>
              <w:framePr w:hSpace="141" w:wrap="around" w:vAnchor="text" w:hAnchor="page" w:x="1880" w:y="518"/>
              <w:widowControl w:val="0"/>
              <w:autoSpaceDE w:val="0"/>
              <w:autoSpaceDN w:val="0"/>
              <w:adjustRightInd w:val="0"/>
              <w:rPr>
                <w:b/>
                <w:sz w:val="20"/>
                <w:szCs w:val="20"/>
              </w:rPr>
            </w:pPr>
            <w:r>
              <w:rPr>
                <w:b/>
                <w:sz w:val="20"/>
                <w:szCs w:val="20"/>
              </w:rPr>
              <w:t>39</w:t>
            </w:r>
            <w:r w:rsidR="000C7817">
              <w:rPr>
                <w:b/>
                <w:sz w:val="20"/>
                <w:szCs w:val="20"/>
              </w:rPr>
              <w:t>.</w:t>
            </w:r>
            <w:r>
              <w:rPr>
                <w:b/>
                <w:sz w:val="20"/>
                <w:szCs w:val="20"/>
              </w:rPr>
              <w:t>072</w:t>
            </w:r>
            <w:r w:rsidR="000C7817">
              <w:rPr>
                <w:b/>
                <w:sz w:val="20"/>
                <w:szCs w:val="20"/>
              </w:rPr>
              <w:t>.</w:t>
            </w:r>
            <w:r>
              <w:rPr>
                <w:b/>
                <w:sz w:val="20"/>
                <w:szCs w:val="20"/>
              </w:rPr>
              <w:t xml:space="preserve">500 </w:t>
            </w:r>
          </w:p>
        </w:tc>
        <w:tc>
          <w:tcPr>
            <w:tcW w:w="992" w:type="dxa"/>
            <w:tcBorders>
              <w:top w:val="single" w:sz="12" w:space="0" w:color="auto"/>
              <w:left w:val="single" w:sz="12" w:space="0" w:color="auto"/>
              <w:bottom w:val="single" w:sz="12" w:space="0" w:color="auto"/>
              <w:right w:val="single" w:sz="12" w:space="0" w:color="auto"/>
            </w:tcBorders>
            <w:vAlign w:val="center"/>
          </w:tcPr>
          <w:p w:rsidR="00261131" w:rsidRPr="004E6AFC" w:rsidRDefault="000237F3" w:rsidP="00914370">
            <w:pPr>
              <w:framePr w:hSpace="141" w:wrap="around" w:vAnchor="text" w:hAnchor="page" w:x="1880" w:y="518"/>
              <w:widowControl w:val="0"/>
              <w:autoSpaceDE w:val="0"/>
              <w:autoSpaceDN w:val="0"/>
              <w:adjustRightInd w:val="0"/>
              <w:rPr>
                <w:b/>
                <w:sz w:val="20"/>
                <w:szCs w:val="20"/>
              </w:rPr>
            </w:pPr>
            <w:r>
              <w:rPr>
                <w:b/>
                <w:sz w:val="20"/>
                <w:szCs w:val="20"/>
              </w:rPr>
              <w:t xml:space="preserve">   +25,2</w:t>
            </w:r>
          </w:p>
        </w:tc>
      </w:tr>
      <w:tr w:rsidR="00261131" w:rsidTr="00F13718">
        <w:trPr>
          <w:trHeight w:val="375"/>
        </w:trPr>
        <w:tc>
          <w:tcPr>
            <w:tcW w:w="1330" w:type="dxa"/>
            <w:tcBorders>
              <w:top w:val="single" w:sz="12" w:space="0" w:color="auto"/>
              <w:left w:val="single" w:sz="12" w:space="0" w:color="auto"/>
              <w:bottom w:val="nil"/>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Chiffre d'affaires</w:t>
            </w:r>
          </w:p>
        </w:tc>
        <w:tc>
          <w:tcPr>
            <w:tcW w:w="1418" w:type="dxa"/>
            <w:tcBorders>
              <w:top w:val="single" w:sz="12" w:space="0" w:color="auto"/>
              <w:left w:val="single" w:sz="12" w:space="0" w:color="auto"/>
              <w:bottom w:val="nil"/>
              <w:right w:val="single" w:sz="12" w:space="0" w:color="auto"/>
            </w:tcBorders>
            <w:shd w:val="clear" w:color="auto" w:fill="00FFFF"/>
            <w:vAlign w:val="center"/>
          </w:tcPr>
          <w:p w:rsidR="00261131" w:rsidRPr="004E6AFC" w:rsidRDefault="00E01CE2" w:rsidP="00E01CE2">
            <w:pPr>
              <w:framePr w:hSpace="141" w:wrap="around" w:vAnchor="text" w:hAnchor="page" w:x="1880" w:y="518"/>
              <w:widowControl w:val="0"/>
              <w:autoSpaceDE w:val="0"/>
              <w:autoSpaceDN w:val="0"/>
              <w:adjustRightInd w:val="0"/>
              <w:jc w:val="right"/>
              <w:rPr>
                <w:b/>
                <w:sz w:val="20"/>
                <w:szCs w:val="20"/>
              </w:rPr>
            </w:pPr>
            <w:r>
              <w:rPr>
                <w:b/>
                <w:sz w:val="20"/>
                <w:szCs w:val="20"/>
              </w:rPr>
              <w:t>404</w:t>
            </w:r>
            <w:r w:rsidR="00261131">
              <w:rPr>
                <w:b/>
                <w:sz w:val="20"/>
                <w:szCs w:val="20"/>
              </w:rPr>
              <w:t>.</w:t>
            </w:r>
            <w:r>
              <w:rPr>
                <w:b/>
                <w:sz w:val="20"/>
                <w:szCs w:val="20"/>
              </w:rPr>
              <w:t>380</w:t>
            </w:r>
            <w:r w:rsidR="00261131">
              <w:rPr>
                <w:b/>
                <w:sz w:val="20"/>
                <w:szCs w:val="20"/>
              </w:rPr>
              <w:t>.</w:t>
            </w:r>
            <w:r>
              <w:rPr>
                <w:b/>
                <w:sz w:val="20"/>
                <w:szCs w:val="20"/>
              </w:rPr>
              <w:t>021</w:t>
            </w:r>
          </w:p>
        </w:tc>
        <w:tc>
          <w:tcPr>
            <w:tcW w:w="1701" w:type="dxa"/>
            <w:tcBorders>
              <w:top w:val="single" w:sz="12" w:space="0" w:color="auto"/>
              <w:left w:val="single" w:sz="12" w:space="0" w:color="auto"/>
              <w:bottom w:val="nil"/>
              <w:right w:val="single" w:sz="12" w:space="0" w:color="auto"/>
            </w:tcBorders>
            <w:shd w:val="clear" w:color="auto" w:fill="00FFFF"/>
            <w:vAlign w:val="center"/>
          </w:tcPr>
          <w:p w:rsidR="00261131" w:rsidRPr="004E6AFC" w:rsidRDefault="00E21FA0" w:rsidP="00CB797E">
            <w:pPr>
              <w:framePr w:hSpace="141" w:wrap="around" w:vAnchor="text" w:hAnchor="page" w:x="1880" w:y="518"/>
              <w:widowControl w:val="0"/>
              <w:autoSpaceDE w:val="0"/>
              <w:autoSpaceDN w:val="0"/>
              <w:adjustRightInd w:val="0"/>
              <w:rPr>
                <w:b/>
                <w:sz w:val="20"/>
                <w:szCs w:val="20"/>
              </w:rPr>
            </w:pPr>
            <w:r>
              <w:rPr>
                <w:b/>
                <w:sz w:val="20"/>
                <w:szCs w:val="20"/>
              </w:rPr>
              <w:t xml:space="preserve">      </w:t>
            </w:r>
            <w:r w:rsidR="0012073A">
              <w:rPr>
                <w:b/>
                <w:sz w:val="20"/>
                <w:szCs w:val="20"/>
              </w:rPr>
              <w:t>681.</w:t>
            </w:r>
            <w:r w:rsidR="00CB797E">
              <w:rPr>
                <w:b/>
                <w:sz w:val="20"/>
                <w:szCs w:val="20"/>
              </w:rPr>
              <w:t>696</w:t>
            </w:r>
            <w:r w:rsidR="0012073A">
              <w:rPr>
                <w:b/>
                <w:sz w:val="20"/>
                <w:szCs w:val="20"/>
              </w:rPr>
              <w:t>.</w:t>
            </w:r>
            <w:r w:rsidR="00CB797E">
              <w:rPr>
                <w:b/>
                <w:sz w:val="20"/>
                <w:szCs w:val="20"/>
              </w:rPr>
              <w:t>411</w:t>
            </w:r>
          </w:p>
        </w:tc>
        <w:tc>
          <w:tcPr>
            <w:tcW w:w="1842" w:type="dxa"/>
            <w:vMerge w:val="restart"/>
            <w:tcBorders>
              <w:top w:val="single" w:sz="12" w:space="0" w:color="auto"/>
              <w:left w:val="single" w:sz="12" w:space="0" w:color="auto"/>
              <w:right w:val="single" w:sz="12" w:space="0" w:color="auto"/>
            </w:tcBorders>
            <w:shd w:val="clear" w:color="auto" w:fill="00FFFF"/>
            <w:vAlign w:val="center"/>
          </w:tcPr>
          <w:p w:rsidR="00261131" w:rsidRPr="004E6AFC" w:rsidRDefault="000237F3" w:rsidP="00607833">
            <w:pPr>
              <w:framePr w:hSpace="141" w:wrap="around" w:vAnchor="text" w:hAnchor="page" w:x="1880" w:y="518"/>
              <w:widowControl w:val="0"/>
              <w:autoSpaceDE w:val="0"/>
              <w:autoSpaceDN w:val="0"/>
              <w:adjustRightInd w:val="0"/>
              <w:rPr>
                <w:b/>
                <w:sz w:val="20"/>
                <w:szCs w:val="20"/>
              </w:rPr>
            </w:pPr>
            <w:r>
              <w:rPr>
                <w:b/>
                <w:sz w:val="20"/>
                <w:szCs w:val="20"/>
              </w:rPr>
              <w:t>+68,6</w:t>
            </w:r>
          </w:p>
        </w:tc>
        <w:tc>
          <w:tcPr>
            <w:tcW w:w="1418" w:type="dxa"/>
            <w:tcBorders>
              <w:top w:val="single" w:sz="12" w:space="0" w:color="auto"/>
              <w:left w:val="single" w:sz="12" w:space="0" w:color="auto"/>
              <w:bottom w:val="nil"/>
              <w:right w:val="single" w:sz="12" w:space="0" w:color="auto"/>
            </w:tcBorders>
            <w:shd w:val="clear" w:color="auto" w:fill="00FFFF"/>
            <w:vAlign w:val="center"/>
          </w:tcPr>
          <w:p w:rsidR="00261131" w:rsidRPr="004E6AFC" w:rsidRDefault="00E9180A" w:rsidP="00E9180A">
            <w:pPr>
              <w:framePr w:hSpace="141" w:wrap="around" w:vAnchor="text" w:hAnchor="page" w:x="1880" w:y="518"/>
              <w:widowControl w:val="0"/>
              <w:autoSpaceDE w:val="0"/>
              <w:autoSpaceDN w:val="0"/>
              <w:adjustRightInd w:val="0"/>
              <w:rPr>
                <w:b/>
                <w:sz w:val="20"/>
                <w:szCs w:val="20"/>
              </w:rPr>
            </w:pPr>
            <w:r>
              <w:rPr>
                <w:b/>
                <w:sz w:val="20"/>
                <w:szCs w:val="20"/>
              </w:rPr>
              <w:t>513</w:t>
            </w:r>
            <w:r w:rsidR="000C7817">
              <w:rPr>
                <w:b/>
                <w:sz w:val="20"/>
                <w:szCs w:val="20"/>
              </w:rPr>
              <w:t>.</w:t>
            </w:r>
            <w:r>
              <w:rPr>
                <w:b/>
                <w:sz w:val="20"/>
                <w:szCs w:val="20"/>
              </w:rPr>
              <w:t>895</w:t>
            </w:r>
            <w:r w:rsidR="000C7817">
              <w:rPr>
                <w:b/>
                <w:sz w:val="20"/>
                <w:szCs w:val="20"/>
              </w:rPr>
              <w:t>.</w:t>
            </w:r>
            <w:r>
              <w:rPr>
                <w:b/>
                <w:sz w:val="20"/>
                <w:szCs w:val="20"/>
              </w:rPr>
              <w:t>500</w:t>
            </w:r>
          </w:p>
        </w:tc>
        <w:tc>
          <w:tcPr>
            <w:tcW w:w="992" w:type="dxa"/>
            <w:tcBorders>
              <w:top w:val="single" w:sz="12" w:space="0" w:color="auto"/>
              <w:left w:val="single" w:sz="12" w:space="0" w:color="auto"/>
              <w:bottom w:val="nil"/>
              <w:right w:val="single" w:sz="12" w:space="0" w:color="auto"/>
            </w:tcBorders>
            <w:shd w:val="clear" w:color="auto" w:fill="00FFFF"/>
            <w:vAlign w:val="center"/>
          </w:tcPr>
          <w:p w:rsidR="00261131" w:rsidRPr="004E6AFC" w:rsidRDefault="000237F3" w:rsidP="00914370">
            <w:pPr>
              <w:framePr w:hSpace="141" w:wrap="around" w:vAnchor="text" w:hAnchor="page" w:x="1880" w:y="518"/>
              <w:widowControl w:val="0"/>
              <w:autoSpaceDE w:val="0"/>
              <w:autoSpaceDN w:val="0"/>
              <w:adjustRightInd w:val="0"/>
              <w:rPr>
                <w:b/>
                <w:sz w:val="20"/>
                <w:szCs w:val="20"/>
              </w:rPr>
            </w:pPr>
            <w:r>
              <w:rPr>
                <w:b/>
                <w:sz w:val="20"/>
                <w:szCs w:val="20"/>
              </w:rPr>
              <w:t xml:space="preserve">   +32,7</w:t>
            </w:r>
          </w:p>
        </w:tc>
      </w:tr>
      <w:tr w:rsidR="00261131" w:rsidTr="00F13718">
        <w:trPr>
          <w:trHeight w:val="360"/>
        </w:trPr>
        <w:tc>
          <w:tcPr>
            <w:tcW w:w="1330" w:type="dxa"/>
            <w:tcBorders>
              <w:top w:val="nil"/>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Global</w:t>
            </w:r>
          </w:p>
        </w:tc>
        <w:tc>
          <w:tcPr>
            <w:tcW w:w="1418" w:type="dxa"/>
            <w:tcBorders>
              <w:top w:val="nil"/>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701" w:type="dxa"/>
            <w:tcBorders>
              <w:top w:val="nil"/>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842" w:type="dxa"/>
            <w:vMerge/>
            <w:tcBorders>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418" w:type="dxa"/>
            <w:tcBorders>
              <w:top w:val="nil"/>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992" w:type="dxa"/>
            <w:tcBorders>
              <w:top w:val="nil"/>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r>
      <w:tr w:rsidR="00261131" w:rsidTr="00F13718">
        <w:trPr>
          <w:trHeight w:val="480"/>
        </w:trPr>
        <w:tc>
          <w:tcPr>
            <w:tcW w:w="1330" w:type="dxa"/>
            <w:tcBorders>
              <w:top w:val="single" w:sz="12" w:space="0" w:color="auto"/>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Dont : Devises</w:t>
            </w:r>
          </w:p>
        </w:tc>
        <w:tc>
          <w:tcPr>
            <w:tcW w:w="1418" w:type="dxa"/>
            <w:tcBorders>
              <w:top w:val="single" w:sz="12" w:space="0" w:color="auto"/>
              <w:left w:val="single" w:sz="12" w:space="0" w:color="auto"/>
              <w:bottom w:val="single" w:sz="12" w:space="0" w:color="auto"/>
              <w:right w:val="single" w:sz="12" w:space="0" w:color="auto"/>
            </w:tcBorders>
            <w:vAlign w:val="center"/>
          </w:tcPr>
          <w:p w:rsidR="00261131" w:rsidRPr="004E6AFC" w:rsidRDefault="00E01CE2" w:rsidP="00E01CE2">
            <w:pPr>
              <w:framePr w:hSpace="141" w:wrap="around" w:vAnchor="text" w:hAnchor="page" w:x="1880" w:y="518"/>
              <w:widowControl w:val="0"/>
              <w:autoSpaceDE w:val="0"/>
              <w:autoSpaceDN w:val="0"/>
              <w:adjustRightInd w:val="0"/>
              <w:rPr>
                <w:b/>
                <w:sz w:val="20"/>
                <w:szCs w:val="20"/>
              </w:rPr>
            </w:pPr>
            <w:r>
              <w:rPr>
                <w:b/>
                <w:sz w:val="20"/>
                <w:szCs w:val="20"/>
              </w:rPr>
              <w:t>17</w:t>
            </w:r>
            <w:r w:rsidR="00780A50">
              <w:rPr>
                <w:b/>
                <w:sz w:val="20"/>
                <w:szCs w:val="20"/>
              </w:rPr>
              <w:t>.</w:t>
            </w:r>
            <w:r>
              <w:rPr>
                <w:b/>
                <w:sz w:val="20"/>
                <w:szCs w:val="20"/>
              </w:rPr>
              <w:t>419</w:t>
            </w:r>
            <w:r w:rsidR="00780A50">
              <w:rPr>
                <w:b/>
                <w:sz w:val="20"/>
                <w:szCs w:val="20"/>
              </w:rPr>
              <w:t>.</w:t>
            </w:r>
            <w:r>
              <w:rPr>
                <w:b/>
                <w:sz w:val="20"/>
                <w:szCs w:val="20"/>
              </w:rPr>
              <w:t>500</w:t>
            </w:r>
          </w:p>
        </w:tc>
        <w:tc>
          <w:tcPr>
            <w:tcW w:w="1701" w:type="dxa"/>
            <w:tcBorders>
              <w:top w:val="single" w:sz="12" w:space="0" w:color="auto"/>
              <w:left w:val="single" w:sz="12" w:space="0" w:color="auto"/>
              <w:bottom w:val="single" w:sz="12" w:space="0" w:color="auto"/>
              <w:right w:val="single" w:sz="12" w:space="0" w:color="auto"/>
            </w:tcBorders>
            <w:vAlign w:val="center"/>
          </w:tcPr>
          <w:p w:rsidR="00261131" w:rsidRPr="004E6AFC" w:rsidRDefault="0012073A" w:rsidP="000C7817">
            <w:pPr>
              <w:framePr w:hSpace="141" w:wrap="around" w:vAnchor="text" w:hAnchor="page" w:x="1880" w:y="518"/>
              <w:widowControl w:val="0"/>
              <w:autoSpaceDE w:val="0"/>
              <w:autoSpaceDN w:val="0"/>
              <w:adjustRightInd w:val="0"/>
              <w:jc w:val="center"/>
              <w:rPr>
                <w:b/>
                <w:sz w:val="20"/>
                <w:szCs w:val="20"/>
              </w:rPr>
            </w:pPr>
            <w:r>
              <w:rPr>
                <w:b/>
                <w:sz w:val="20"/>
                <w:szCs w:val="20"/>
              </w:rPr>
              <w:t>61.469.378</w:t>
            </w:r>
          </w:p>
        </w:tc>
        <w:tc>
          <w:tcPr>
            <w:tcW w:w="1842" w:type="dxa"/>
            <w:tcBorders>
              <w:top w:val="single" w:sz="12" w:space="0" w:color="auto"/>
              <w:left w:val="single" w:sz="12" w:space="0" w:color="auto"/>
              <w:bottom w:val="single" w:sz="12" w:space="0" w:color="auto"/>
              <w:right w:val="single" w:sz="12" w:space="0" w:color="auto"/>
            </w:tcBorders>
            <w:vAlign w:val="center"/>
          </w:tcPr>
          <w:p w:rsidR="00261131" w:rsidRPr="004E6AFC" w:rsidRDefault="000237F3" w:rsidP="000C7817">
            <w:pPr>
              <w:framePr w:hSpace="141" w:wrap="around" w:vAnchor="text" w:hAnchor="page" w:x="1880" w:y="518"/>
              <w:widowControl w:val="0"/>
              <w:autoSpaceDE w:val="0"/>
              <w:autoSpaceDN w:val="0"/>
              <w:adjustRightInd w:val="0"/>
              <w:rPr>
                <w:b/>
                <w:sz w:val="20"/>
                <w:szCs w:val="20"/>
              </w:rPr>
            </w:pPr>
            <w:r>
              <w:rPr>
                <w:b/>
                <w:sz w:val="20"/>
                <w:szCs w:val="20"/>
              </w:rPr>
              <w:t xml:space="preserve">  +252,9</w:t>
            </w:r>
          </w:p>
        </w:tc>
        <w:tc>
          <w:tcPr>
            <w:tcW w:w="1418" w:type="dxa"/>
            <w:tcBorders>
              <w:top w:val="single" w:sz="12" w:space="0" w:color="auto"/>
              <w:left w:val="single" w:sz="12" w:space="0" w:color="auto"/>
              <w:bottom w:val="single" w:sz="12" w:space="0" w:color="auto"/>
              <w:right w:val="single" w:sz="12" w:space="0" w:color="auto"/>
            </w:tcBorders>
            <w:vAlign w:val="center"/>
          </w:tcPr>
          <w:p w:rsidR="00261131" w:rsidRPr="004E6AFC" w:rsidRDefault="00E9180A" w:rsidP="00E9180A">
            <w:pPr>
              <w:framePr w:hSpace="141" w:wrap="around" w:vAnchor="text" w:hAnchor="page" w:x="1880" w:y="518"/>
              <w:widowControl w:val="0"/>
              <w:autoSpaceDE w:val="0"/>
              <w:autoSpaceDN w:val="0"/>
              <w:adjustRightInd w:val="0"/>
              <w:jc w:val="center"/>
              <w:rPr>
                <w:b/>
                <w:sz w:val="20"/>
                <w:szCs w:val="20"/>
              </w:rPr>
            </w:pPr>
            <w:r>
              <w:rPr>
                <w:b/>
                <w:sz w:val="20"/>
                <w:szCs w:val="20"/>
              </w:rPr>
              <w:t>92</w:t>
            </w:r>
            <w:r w:rsidR="000C7817">
              <w:rPr>
                <w:b/>
                <w:sz w:val="20"/>
                <w:szCs w:val="20"/>
              </w:rPr>
              <w:t>.</w:t>
            </w:r>
            <w:r>
              <w:rPr>
                <w:b/>
                <w:sz w:val="20"/>
                <w:szCs w:val="20"/>
              </w:rPr>
              <w:t>532</w:t>
            </w:r>
            <w:r w:rsidR="000C7817">
              <w:rPr>
                <w:b/>
                <w:sz w:val="20"/>
                <w:szCs w:val="20"/>
              </w:rPr>
              <w:t>.</w:t>
            </w:r>
            <w:r w:rsidR="005F346C">
              <w:rPr>
                <w:b/>
                <w:sz w:val="20"/>
                <w:szCs w:val="20"/>
              </w:rPr>
              <w:t>600</w:t>
            </w:r>
          </w:p>
        </w:tc>
        <w:tc>
          <w:tcPr>
            <w:tcW w:w="992" w:type="dxa"/>
            <w:tcBorders>
              <w:top w:val="single" w:sz="12" w:space="0" w:color="auto"/>
              <w:left w:val="single" w:sz="12" w:space="0" w:color="auto"/>
              <w:bottom w:val="single" w:sz="12" w:space="0" w:color="auto"/>
              <w:right w:val="single" w:sz="12" w:space="0" w:color="auto"/>
            </w:tcBorders>
            <w:vAlign w:val="center"/>
          </w:tcPr>
          <w:p w:rsidR="00261131" w:rsidRPr="004E6AFC" w:rsidRDefault="000237F3" w:rsidP="00914370">
            <w:pPr>
              <w:framePr w:hSpace="141" w:wrap="around" w:vAnchor="text" w:hAnchor="page" w:x="1880" w:y="518"/>
              <w:widowControl w:val="0"/>
              <w:autoSpaceDE w:val="0"/>
              <w:autoSpaceDN w:val="0"/>
              <w:adjustRightInd w:val="0"/>
              <w:rPr>
                <w:b/>
                <w:sz w:val="20"/>
                <w:szCs w:val="20"/>
              </w:rPr>
            </w:pPr>
            <w:r>
              <w:rPr>
                <w:b/>
                <w:sz w:val="20"/>
                <w:szCs w:val="20"/>
              </w:rPr>
              <w:t xml:space="preserve">    -33,6</w:t>
            </w:r>
          </w:p>
        </w:tc>
      </w:tr>
      <w:tr w:rsidR="00261131" w:rsidTr="00F13718">
        <w:trPr>
          <w:trHeight w:val="375"/>
        </w:trPr>
        <w:tc>
          <w:tcPr>
            <w:tcW w:w="1330" w:type="dxa"/>
            <w:tcBorders>
              <w:top w:val="single" w:sz="12" w:space="0" w:color="auto"/>
              <w:left w:val="single" w:sz="12" w:space="0" w:color="auto"/>
              <w:bottom w:val="nil"/>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Produits financiers</w:t>
            </w:r>
          </w:p>
        </w:tc>
        <w:tc>
          <w:tcPr>
            <w:tcW w:w="1418" w:type="dxa"/>
            <w:tcBorders>
              <w:top w:val="single" w:sz="12" w:space="0" w:color="auto"/>
              <w:left w:val="single" w:sz="12" w:space="0" w:color="auto"/>
              <w:bottom w:val="nil"/>
              <w:right w:val="single" w:sz="12" w:space="0" w:color="auto"/>
            </w:tcBorders>
            <w:vAlign w:val="center"/>
          </w:tcPr>
          <w:p w:rsidR="00261131" w:rsidRDefault="00261131" w:rsidP="00261131">
            <w:pPr>
              <w:framePr w:hSpace="141" w:wrap="around" w:vAnchor="text" w:hAnchor="page" w:x="1880" w:y="518"/>
              <w:widowControl w:val="0"/>
              <w:autoSpaceDE w:val="0"/>
              <w:autoSpaceDN w:val="0"/>
              <w:adjustRightInd w:val="0"/>
              <w:jc w:val="right"/>
              <w:rPr>
                <w:b/>
                <w:sz w:val="20"/>
                <w:szCs w:val="20"/>
              </w:rPr>
            </w:pPr>
          </w:p>
          <w:p w:rsidR="00261131" w:rsidRPr="004E6AFC" w:rsidRDefault="00E01CE2" w:rsidP="00E01CE2">
            <w:pPr>
              <w:framePr w:hSpace="141" w:wrap="around" w:vAnchor="text" w:hAnchor="page" w:x="1880" w:y="518"/>
              <w:widowControl w:val="0"/>
              <w:autoSpaceDE w:val="0"/>
              <w:autoSpaceDN w:val="0"/>
              <w:adjustRightInd w:val="0"/>
              <w:jc w:val="right"/>
              <w:rPr>
                <w:b/>
                <w:sz w:val="20"/>
                <w:szCs w:val="20"/>
              </w:rPr>
            </w:pPr>
            <w:r>
              <w:rPr>
                <w:b/>
                <w:sz w:val="20"/>
                <w:szCs w:val="20"/>
              </w:rPr>
              <w:t>1</w:t>
            </w:r>
            <w:r w:rsidR="000C7817">
              <w:rPr>
                <w:b/>
                <w:sz w:val="20"/>
                <w:szCs w:val="20"/>
              </w:rPr>
              <w:t>.</w:t>
            </w:r>
            <w:r>
              <w:rPr>
                <w:b/>
                <w:sz w:val="20"/>
                <w:szCs w:val="20"/>
              </w:rPr>
              <w:t>784</w:t>
            </w:r>
            <w:r w:rsidR="00261131">
              <w:rPr>
                <w:b/>
                <w:sz w:val="20"/>
                <w:szCs w:val="20"/>
              </w:rPr>
              <w:t>.</w:t>
            </w:r>
            <w:r>
              <w:rPr>
                <w:b/>
                <w:sz w:val="20"/>
                <w:szCs w:val="20"/>
              </w:rPr>
              <w:t>239</w:t>
            </w:r>
          </w:p>
        </w:tc>
        <w:tc>
          <w:tcPr>
            <w:tcW w:w="1701" w:type="dxa"/>
            <w:tcBorders>
              <w:top w:val="single" w:sz="12" w:space="0" w:color="auto"/>
              <w:left w:val="single" w:sz="12" w:space="0" w:color="auto"/>
              <w:bottom w:val="nil"/>
              <w:right w:val="single" w:sz="12" w:space="0" w:color="auto"/>
            </w:tcBorders>
            <w:vAlign w:val="center"/>
          </w:tcPr>
          <w:p w:rsidR="00511600" w:rsidRDefault="00511600" w:rsidP="00237449">
            <w:pPr>
              <w:framePr w:hSpace="141" w:wrap="around" w:vAnchor="text" w:hAnchor="page" w:x="1880" w:y="518"/>
              <w:widowControl w:val="0"/>
              <w:autoSpaceDE w:val="0"/>
              <w:autoSpaceDN w:val="0"/>
              <w:adjustRightInd w:val="0"/>
              <w:rPr>
                <w:b/>
                <w:sz w:val="20"/>
                <w:szCs w:val="20"/>
              </w:rPr>
            </w:pPr>
          </w:p>
          <w:p w:rsidR="00261131" w:rsidRPr="004E6AFC" w:rsidRDefault="00CB797E" w:rsidP="008525EF">
            <w:pPr>
              <w:framePr w:hSpace="141" w:wrap="around" w:vAnchor="text" w:hAnchor="page" w:x="1880" w:y="518"/>
              <w:widowControl w:val="0"/>
              <w:autoSpaceDE w:val="0"/>
              <w:autoSpaceDN w:val="0"/>
              <w:adjustRightInd w:val="0"/>
              <w:rPr>
                <w:b/>
                <w:sz w:val="20"/>
                <w:szCs w:val="20"/>
              </w:rPr>
            </w:pPr>
            <w:r>
              <w:rPr>
                <w:b/>
                <w:sz w:val="20"/>
                <w:szCs w:val="20"/>
              </w:rPr>
              <w:t xml:space="preserve">  </w:t>
            </w:r>
            <w:r w:rsidR="00E21FA0">
              <w:rPr>
                <w:b/>
                <w:sz w:val="20"/>
                <w:szCs w:val="20"/>
              </w:rPr>
              <w:t xml:space="preserve">       </w:t>
            </w:r>
            <w:r>
              <w:rPr>
                <w:b/>
                <w:sz w:val="20"/>
                <w:szCs w:val="20"/>
              </w:rPr>
              <w:t>5.158.661</w:t>
            </w:r>
          </w:p>
        </w:tc>
        <w:tc>
          <w:tcPr>
            <w:tcW w:w="1842" w:type="dxa"/>
            <w:vMerge w:val="restart"/>
            <w:tcBorders>
              <w:top w:val="single" w:sz="12" w:space="0" w:color="auto"/>
              <w:left w:val="single" w:sz="12" w:space="0" w:color="auto"/>
              <w:right w:val="single" w:sz="12" w:space="0" w:color="auto"/>
            </w:tcBorders>
            <w:vAlign w:val="center"/>
          </w:tcPr>
          <w:p w:rsidR="00261131" w:rsidRPr="004E6AFC" w:rsidRDefault="000237F3" w:rsidP="00607833">
            <w:pPr>
              <w:framePr w:hSpace="141" w:wrap="around" w:vAnchor="text" w:hAnchor="page" w:x="1880" w:y="518"/>
              <w:widowControl w:val="0"/>
              <w:autoSpaceDE w:val="0"/>
              <w:autoSpaceDN w:val="0"/>
              <w:adjustRightInd w:val="0"/>
              <w:rPr>
                <w:b/>
                <w:sz w:val="20"/>
                <w:szCs w:val="20"/>
              </w:rPr>
            </w:pPr>
            <w:r>
              <w:rPr>
                <w:b/>
                <w:sz w:val="20"/>
                <w:szCs w:val="20"/>
              </w:rPr>
              <w:t xml:space="preserve"> +189,1</w:t>
            </w:r>
          </w:p>
        </w:tc>
        <w:tc>
          <w:tcPr>
            <w:tcW w:w="1418" w:type="dxa"/>
            <w:tcBorders>
              <w:top w:val="single" w:sz="12" w:space="0" w:color="auto"/>
              <w:left w:val="single" w:sz="12" w:space="0" w:color="auto"/>
              <w:right w:val="single" w:sz="12" w:space="0" w:color="auto"/>
            </w:tcBorders>
            <w:vAlign w:val="center"/>
          </w:tcPr>
          <w:p w:rsidR="00261131" w:rsidRDefault="00261131" w:rsidP="00261131">
            <w:pPr>
              <w:framePr w:hSpace="141" w:wrap="around" w:vAnchor="text" w:hAnchor="page" w:x="1880" w:y="518"/>
              <w:widowControl w:val="0"/>
              <w:autoSpaceDE w:val="0"/>
              <w:autoSpaceDN w:val="0"/>
              <w:adjustRightInd w:val="0"/>
              <w:jc w:val="center"/>
              <w:rPr>
                <w:b/>
                <w:sz w:val="20"/>
                <w:szCs w:val="20"/>
              </w:rPr>
            </w:pPr>
          </w:p>
          <w:p w:rsidR="00511600" w:rsidRPr="004E6AFC" w:rsidRDefault="00511600" w:rsidP="00261131">
            <w:pPr>
              <w:framePr w:hSpace="141" w:wrap="around" w:vAnchor="text" w:hAnchor="page" w:x="1880" w:y="518"/>
              <w:widowControl w:val="0"/>
              <w:autoSpaceDE w:val="0"/>
              <w:autoSpaceDN w:val="0"/>
              <w:adjustRightInd w:val="0"/>
              <w:jc w:val="center"/>
              <w:rPr>
                <w:b/>
                <w:sz w:val="20"/>
                <w:szCs w:val="20"/>
              </w:rPr>
            </w:pPr>
            <w:r>
              <w:rPr>
                <w:b/>
                <w:sz w:val="20"/>
                <w:szCs w:val="20"/>
              </w:rPr>
              <w:t>-</w:t>
            </w:r>
          </w:p>
        </w:tc>
        <w:tc>
          <w:tcPr>
            <w:tcW w:w="992" w:type="dxa"/>
            <w:tcBorders>
              <w:top w:val="single" w:sz="12" w:space="0" w:color="auto"/>
              <w:left w:val="single" w:sz="12" w:space="0" w:color="auto"/>
              <w:right w:val="single" w:sz="12" w:space="0" w:color="auto"/>
            </w:tcBorders>
            <w:vAlign w:val="center"/>
          </w:tcPr>
          <w:p w:rsidR="00261131" w:rsidRDefault="00261131" w:rsidP="000C7817">
            <w:pPr>
              <w:framePr w:hSpace="141" w:wrap="around" w:vAnchor="text" w:hAnchor="page" w:x="1880" w:y="518"/>
              <w:widowControl w:val="0"/>
              <w:autoSpaceDE w:val="0"/>
              <w:autoSpaceDN w:val="0"/>
              <w:adjustRightInd w:val="0"/>
              <w:rPr>
                <w:b/>
                <w:sz w:val="20"/>
                <w:szCs w:val="20"/>
              </w:rPr>
            </w:pPr>
          </w:p>
          <w:p w:rsidR="000237F3" w:rsidRPr="004E6AFC" w:rsidRDefault="000237F3" w:rsidP="000C7817">
            <w:pPr>
              <w:framePr w:hSpace="141" w:wrap="around" w:vAnchor="text" w:hAnchor="page" w:x="1880" w:y="518"/>
              <w:widowControl w:val="0"/>
              <w:autoSpaceDE w:val="0"/>
              <w:autoSpaceDN w:val="0"/>
              <w:adjustRightInd w:val="0"/>
              <w:rPr>
                <w:b/>
                <w:sz w:val="20"/>
                <w:szCs w:val="20"/>
              </w:rPr>
            </w:pPr>
            <w:r>
              <w:rPr>
                <w:b/>
                <w:sz w:val="20"/>
                <w:szCs w:val="20"/>
              </w:rPr>
              <w:t xml:space="preserve"> +100,0</w:t>
            </w:r>
          </w:p>
        </w:tc>
      </w:tr>
      <w:tr w:rsidR="00261131" w:rsidTr="00F13718">
        <w:trPr>
          <w:trHeight w:val="334"/>
        </w:trPr>
        <w:tc>
          <w:tcPr>
            <w:tcW w:w="1330" w:type="dxa"/>
            <w:tcBorders>
              <w:top w:val="nil"/>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p>
        </w:tc>
        <w:tc>
          <w:tcPr>
            <w:tcW w:w="1418" w:type="dxa"/>
            <w:tcBorders>
              <w:top w:val="nil"/>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701" w:type="dxa"/>
            <w:tcBorders>
              <w:top w:val="nil"/>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842" w:type="dxa"/>
            <w:vMerge/>
            <w:tcBorders>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418" w:type="dxa"/>
            <w:tcBorders>
              <w:top w:val="nil"/>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992" w:type="dxa"/>
            <w:tcBorders>
              <w:top w:val="nil"/>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r>
      <w:tr w:rsidR="00261131" w:rsidTr="00F13718">
        <w:trPr>
          <w:trHeight w:val="375"/>
        </w:trPr>
        <w:tc>
          <w:tcPr>
            <w:tcW w:w="1330" w:type="dxa"/>
            <w:tcBorders>
              <w:top w:val="single" w:sz="12" w:space="0" w:color="auto"/>
              <w:left w:val="single" w:sz="12" w:space="0" w:color="auto"/>
              <w:bottom w:val="nil"/>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Total des produits</w:t>
            </w:r>
          </w:p>
        </w:tc>
        <w:tc>
          <w:tcPr>
            <w:tcW w:w="1418" w:type="dxa"/>
            <w:vMerge w:val="restart"/>
            <w:tcBorders>
              <w:top w:val="single" w:sz="12" w:space="0" w:color="auto"/>
              <w:left w:val="single" w:sz="12" w:space="0" w:color="auto"/>
              <w:right w:val="single" w:sz="12" w:space="0" w:color="auto"/>
            </w:tcBorders>
            <w:shd w:val="clear" w:color="auto" w:fill="00FFFF"/>
            <w:vAlign w:val="center"/>
          </w:tcPr>
          <w:p w:rsidR="00261131" w:rsidRPr="004E6AFC" w:rsidRDefault="00E01CE2" w:rsidP="00E01CE2">
            <w:pPr>
              <w:framePr w:hSpace="141" w:wrap="around" w:vAnchor="text" w:hAnchor="page" w:x="1880" w:y="518"/>
              <w:widowControl w:val="0"/>
              <w:autoSpaceDE w:val="0"/>
              <w:autoSpaceDN w:val="0"/>
              <w:adjustRightInd w:val="0"/>
              <w:jc w:val="right"/>
              <w:rPr>
                <w:b/>
                <w:sz w:val="20"/>
                <w:szCs w:val="20"/>
              </w:rPr>
            </w:pPr>
            <w:r>
              <w:rPr>
                <w:b/>
                <w:sz w:val="20"/>
                <w:szCs w:val="20"/>
              </w:rPr>
              <w:t>406</w:t>
            </w:r>
            <w:r w:rsidR="00261131">
              <w:rPr>
                <w:b/>
                <w:sz w:val="20"/>
                <w:szCs w:val="20"/>
              </w:rPr>
              <w:t>.</w:t>
            </w:r>
            <w:r>
              <w:rPr>
                <w:b/>
                <w:sz w:val="20"/>
                <w:szCs w:val="20"/>
              </w:rPr>
              <w:t>164</w:t>
            </w:r>
            <w:r w:rsidR="00261131">
              <w:rPr>
                <w:b/>
                <w:sz w:val="20"/>
                <w:szCs w:val="20"/>
              </w:rPr>
              <w:t>.</w:t>
            </w:r>
            <w:r>
              <w:rPr>
                <w:b/>
                <w:sz w:val="20"/>
                <w:szCs w:val="20"/>
              </w:rPr>
              <w:t>260</w:t>
            </w:r>
          </w:p>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701" w:type="dxa"/>
            <w:tcBorders>
              <w:top w:val="single" w:sz="12" w:space="0" w:color="auto"/>
              <w:left w:val="single" w:sz="12" w:space="0" w:color="auto"/>
              <w:bottom w:val="nil"/>
              <w:right w:val="single" w:sz="12" w:space="0" w:color="auto"/>
            </w:tcBorders>
            <w:shd w:val="clear" w:color="auto" w:fill="00FFFF"/>
            <w:vAlign w:val="center"/>
          </w:tcPr>
          <w:p w:rsidR="00511600" w:rsidRDefault="00511600" w:rsidP="00237449">
            <w:pPr>
              <w:framePr w:hSpace="141" w:wrap="around" w:vAnchor="text" w:hAnchor="page" w:x="1880" w:y="518"/>
              <w:widowControl w:val="0"/>
              <w:autoSpaceDE w:val="0"/>
              <w:autoSpaceDN w:val="0"/>
              <w:adjustRightInd w:val="0"/>
              <w:jc w:val="center"/>
              <w:rPr>
                <w:b/>
                <w:sz w:val="20"/>
                <w:szCs w:val="20"/>
              </w:rPr>
            </w:pPr>
          </w:p>
          <w:p w:rsidR="00261131" w:rsidRDefault="00CB797E" w:rsidP="00CB797E">
            <w:pPr>
              <w:framePr w:hSpace="141" w:wrap="around" w:vAnchor="text" w:hAnchor="page" w:x="1880" w:y="518"/>
              <w:widowControl w:val="0"/>
              <w:autoSpaceDE w:val="0"/>
              <w:autoSpaceDN w:val="0"/>
              <w:adjustRightInd w:val="0"/>
              <w:rPr>
                <w:b/>
                <w:sz w:val="20"/>
                <w:szCs w:val="20"/>
              </w:rPr>
            </w:pPr>
            <w:r>
              <w:rPr>
                <w:b/>
                <w:sz w:val="20"/>
                <w:szCs w:val="20"/>
              </w:rPr>
              <w:t>686</w:t>
            </w:r>
            <w:r w:rsidR="0012073A">
              <w:rPr>
                <w:b/>
                <w:sz w:val="20"/>
                <w:szCs w:val="20"/>
              </w:rPr>
              <w:t>.</w:t>
            </w:r>
            <w:r>
              <w:rPr>
                <w:b/>
                <w:sz w:val="20"/>
                <w:szCs w:val="20"/>
              </w:rPr>
              <w:t>855</w:t>
            </w:r>
            <w:r w:rsidR="0012073A">
              <w:rPr>
                <w:b/>
                <w:sz w:val="20"/>
                <w:szCs w:val="20"/>
              </w:rPr>
              <w:t>.</w:t>
            </w:r>
            <w:r>
              <w:rPr>
                <w:b/>
                <w:sz w:val="20"/>
                <w:szCs w:val="20"/>
              </w:rPr>
              <w:t>072</w:t>
            </w:r>
          </w:p>
          <w:p w:rsidR="00511600" w:rsidRPr="004E6AFC" w:rsidRDefault="00511600" w:rsidP="00511600">
            <w:pPr>
              <w:framePr w:hSpace="141" w:wrap="around" w:vAnchor="text" w:hAnchor="page" w:x="1880" w:y="518"/>
              <w:widowControl w:val="0"/>
              <w:autoSpaceDE w:val="0"/>
              <w:autoSpaceDN w:val="0"/>
              <w:adjustRightInd w:val="0"/>
              <w:rPr>
                <w:b/>
                <w:sz w:val="20"/>
                <w:szCs w:val="20"/>
              </w:rPr>
            </w:pPr>
          </w:p>
        </w:tc>
        <w:tc>
          <w:tcPr>
            <w:tcW w:w="1842" w:type="dxa"/>
            <w:vMerge w:val="restart"/>
            <w:tcBorders>
              <w:top w:val="single" w:sz="12" w:space="0" w:color="auto"/>
              <w:left w:val="single" w:sz="12" w:space="0" w:color="auto"/>
              <w:right w:val="single" w:sz="12" w:space="0" w:color="auto"/>
            </w:tcBorders>
            <w:shd w:val="clear" w:color="auto" w:fill="00FFFF"/>
            <w:vAlign w:val="center"/>
          </w:tcPr>
          <w:p w:rsidR="00261131" w:rsidRPr="004E6AFC" w:rsidRDefault="000237F3" w:rsidP="00607833">
            <w:pPr>
              <w:framePr w:hSpace="141" w:wrap="around" w:vAnchor="text" w:hAnchor="page" w:x="1880" w:y="518"/>
              <w:widowControl w:val="0"/>
              <w:autoSpaceDE w:val="0"/>
              <w:autoSpaceDN w:val="0"/>
              <w:adjustRightInd w:val="0"/>
              <w:rPr>
                <w:b/>
                <w:sz w:val="20"/>
                <w:szCs w:val="20"/>
              </w:rPr>
            </w:pPr>
            <w:r>
              <w:rPr>
                <w:b/>
                <w:sz w:val="20"/>
                <w:szCs w:val="20"/>
              </w:rPr>
              <w:t xml:space="preserve"> +69,1</w:t>
            </w:r>
          </w:p>
        </w:tc>
        <w:tc>
          <w:tcPr>
            <w:tcW w:w="1418" w:type="dxa"/>
            <w:tcBorders>
              <w:top w:val="single" w:sz="12" w:space="0" w:color="auto"/>
              <w:left w:val="single" w:sz="12" w:space="0" w:color="auto"/>
              <w:bottom w:val="nil"/>
              <w:right w:val="single" w:sz="12" w:space="0" w:color="auto"/>
            </w:tcBorders>
            <w:shd w:val="clear" w:color="auto" w:fill="00FFFF"/>
            <w:vAlign w:val="center"/>
          </w:tcPr>
          <w:p w:rsidR="00261131" w:rsidRPr="004E6AFC" w:rsidRDefault="00E9180A" w:rsidP="00E9180A">
            <w:pPr>
              <w:framePr w:hSpace="141" w:wrap="around" w:vAnchor="text" w:hAnchor="page" w:x="1880" w:y="518"/>
              <w:widowControl w:val="0"/>
              <w:autoSpaceDE w:val="0"/>
              <w:autoSpaceDN w:val="0"/>
              <w:adjustRightInd w:val="0"/>
              <w:jc w:val="center"/>
              <w:rPr>
                <w:b/>
                <w:sz w:val="20"/>
                <w:szCs w:val="20"/>
              </w:rPr>
            </w:pPr>
            <w:r>
              <w:rPr>
                <w:b/>
                <w:sz w:val="20"/>
                <w:szCs w:val="20"/>
              </w:rPr>
              <w:t>513</w:t>
            </w:r>
            <w:r w:rsidR="000C7817">
              <w:rPr>
                <w:b/>
                <w:sz w:val="20"/>
                <w:szCs w:val="20"/>
              </w:rPr>
              <w:t>.</w:t>
            </w:r>
            <w:r>
              <w:rPr>
                <w:b/>
                <w:sz w:val="20"/>
                <w:szCs w:val="20"/>
              </w:rPr>
              <w:t>895</w:t>
            </w:r>
            <w:r w:rsidR="000C7817">
              <w:rPr>
                <w:b/>
                <w:sz w:val="20"/>
                <w:szCs w:val="20"/>
              </w:rPr>
              <w:t>.</w:t>
            </w:r>
            <w:r>
              <w:rPr>
                <w:b/>
                <w:sz w:val="20"/>
                <w:szCs w:val="20"/>
              </w:rPr>
              <w:t>500</w:t>
            </w:r>
          </w:p>
        </w:tc>
        <w:tc>
          <w:tcPr>
            <w:tcW w:w="992" w:type="dxa"/>
            <w:tcBorders>
              <w:top w:val="single" w:sz="12" w:space="0" w:color="auto"/>
              <w:left w:val="single" w:sz="12" w:space="0" w:color="auto"/>
              <w:bottom w:val="nil"/>
              <w:right w:val="single" w:sz="12" w:space="0" w:color="auto"/>
            </w:tcBorders>
            <w:shd w:val="clear" w:color="auto" w:fill="00FFFF"/>
            <w:vAlign w:val="center"/>
          </w:tcPr>
          <w:p w:rsidR="00261131" w:rsidRPr="004E6AFC" w:rsidRDefault="000237F3" w:rsidP="00914370">
            <w:pPr>
              <w:framePr w:hSpace="141" w:wrap="around" w:vAnchor="text" w:hAnchor="page" w:x="1880" w:y="518"/>
              <w:widowControl w:val="0"/>
              <w:autoSpaceDE w:val="0"/>
              <w:autoSpaceDN w:val="0"/>
              <w:adjustRightInd w:val="0"/>
              <w:rPr>
                <w:b/>
                <w:sz w:val="20"/>
                <w:szCs w:val="20"/>
              </w:rPr>
            </w:pPr>
            <w:r>
              <w:rPr>
                <w:b/>
                <w:sz w:val="20"/>
                <w:szCs w:val="20"/>
              </w:rPr>
              <w:t xml:space="preserve">   +33,7</w:t>
            </w:r>
          </w:p>
        </w:tc>
      </w:tr>
      <w:tr w:rsidR="00261131" w:rsidTr="00F13718">
        <w:trPr>
          <w:trHeight w:val="80"/>
        </w:trPr>
        <w:tc>
          <w:tcPr>
            <w:tcW w:w="1330" w:type="dxa"/>
            <w:tcBorders>
              <w:top w:val="nil"/>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d'exploitation</w:t>
            </w:r>
          </w:p>
        </w:tc>
        <w:tc>
          <w:tcPr>
            <w:tcW w:w="1418" w:type="dxa"/>
            <w:vMerge/>
            <w:tcBorders>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701" w:type="dxa"/>
            <w:tcBorders>
              <w:top w:val="nil"/>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842" w:type="dxa"/>
            <w:vMerge/>
            <w:tcBorders>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418" w:type="dxa"/>
            <w:tcBorders>
              <w:top w:val="nil"/>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992" w:type="dxa"/>
            <w:tcBorders>
              <w:top w:val="nil"/>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r>
      <w:tr w:rsidR="00261131" w:rsidTr="00F13718">
        <w:trPr>
          <w:trHeight w:val="375"/>
        </w:trPr>
        <w:tc>
          <w:tcPr>
            <w:tcW w:w="1330" w:type="dxa"/>
            <w:tcBorders>
              <w:top w:val="single" w:sz="12" w:space="0" w:color="auto"/>
              <w:left w:val="single" w:sz="12" w:space="0" w:color="auto"/>
              <w:bottom w:val="nil"/>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Autres produits</w:t>
            </w:r>
          </w:p>
        </w:tc>
        <w:tc>
          <w:tcPr>
            <w:tcW w:w="1418" w:type="dxa"/>
            <w:vMerge w:val="restart"/>
            <w:tcBorders>
              <w:top w:val="single" w:sz="12" w:space="0" w:color="auto"/>
              <w:left w:val="single" w:sz="12" w:space="0" w:color="auto"/>
              <w:right w:val="single" w:sz="12" w:space="0" w:color="auto"/>
            </w:tcBorders>
            <w:vAlign w:val="center"/>
          </w:tcPr>
          <w:p w:rsidR="00261131" w:rsidRPr="004E6AFC" w:rsidRDefault="00E01CE2" w:rsidP="00E01CE2">
            <w:pPr>
              <w:framePr w:hSpace="141" w:wrap="around" w:vAnchor="text" w:hAnchor="page" w:x="1880" w:y="518"/>
              <w:widowControl w:val="0"/>
              <w:autoSpaceDE w:val="0"/>
              <w:autoSpaceDN w:val="0"/>
              <w:adjustRightInd w:val="0"/>
              <w:jc w:val="right"/>
              <w:rPr>
                <w:b/>
                <w:sz w:val="20"/>
                <w:szCs w:val="20"/>
              </w:rPr>
            </w:pPr>
            <w:r>
              <w:rPr>
                <w:b/>
                <w:sz w:val="20"/>
                <w:szCs w:val="20"/>
              </w:rPr>
              <w:t>34</w:t>
            </w:r>
            <w:r w:rsidR="00261131">
              <w:rPr>
                <w:b/>
                <w:sz w:val="20"/>
                <w:szCs w:val="20"/>
              </w:rPr>
              <w:t>.</w:t>
            </w:r>
            <w:r>
              <w:rPr>
                <w:b/>
                <w:sz w:val="20"/>
                <w:szCs w:val="20"/>
              </w:rPr>
              <w:t>231</w:t>
            </w:r>
            <w:r w:rsidR="00261131">
              <w:rPr>
                <w:b/>
                <w:sz w:val="20"/>
                <w:szCs w:val="20"/>
              </w:rPr>
              <w:t>.</w:t>
            </w:r>
            <w:r>
              <w:rPr>
                <w:b/>
                <w:sz w:val="20"/>
                <w:szCs w:val="20"/>
              </w:rPr>
              <w:t>318</w:t>
            </w:r>
          </w:p>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701" w:type="dxa"/>
            <w:tcBorders>
              <w:top w:val="single" w:sz="12" w:space="0" w:color="auto"/>
              <w:left w:val="single" w:sz="12" w:space="0" w:color="auto"/>
              <w:bottom w:val="nil"/>
              <w:right w:val="single" w:sz="12" w:space="0" w:color="auto"/>
            </w:tcBorders>
            <w:vAlign w:val="center"/>
          </w:tcPr>
          <w:p w:rsidR="00261131" w:rsidRPr="00613D7E" w:rsidRDefault="00CB797E" w:rsidP="00CB797E">
            <w:pPr>
              <w:framePr w:hSpace="141" w:wrap="around" w:vAnchor="text" w:hAnchor="page" w:x="1880" w:y="518"/>
              <w:widowControl w:val="0"/>
              <w:autoSpaceDE w:val="0"/>
              <w:autoSpaceDN w:val="0"/>
              <w:adjustRightInd w:val="0"/>
              <w:jc w:val="center"/>
              <w:rPr>
                <w:b/>
                <w:sz w:val="20"/>
                <w:szCs w:val="20"/>
              </w:rPr>
            </w:pPr>
            <w:r>
              <w:rPr>
                <w:b/>
                <w:sz w:val="20"/>
                <w:szCs w:val="20"/>
              </w:rPr>
              <w:t>23</w:t>
            </w:r>
            <w:r w:rsidR="0012073A">
              <w:rPr>
                <w:b/>
                <w:sz w:val="20"/>
                <w:szCs w:val="20"/>
              </w:rPr>
              <w:t>.</w:t>
            </w:r>
            <w:r>
              <w:rPr>
                <w:b/>
                <w:sz w:val="20"/>
                <w:szCs w:val="20"/>
              </w:rPr>
              <w:t>370</w:t>
            </w:r>
            <w:r w:rsidR="0012073A">
              <w:rPr>
                <w:b/>
                <w:sz w:val="20"/>
                <w:szCs w:val="20"/>
              </w:rPr>
              <w:t>.</w:t>
            </w:r>
            <w:r>
              <w:rPr>
                <w:b/>
                <w:sz w:val="20"/>
                <w:szCs w:val="20"/>
              </w:rPr>
              <w:t>628</w:t>
            </w:r>
          </w:p>
        </w:tc>
        <w:tc>
          <w:tcPr>
            <w:tcW w:w="1842" w:type="dxa"/>
            <w:vMerge w:val="restart"/>
            <w:tcBorders>
              <w:top w:val="single" w:sz="12" w:space="0" w:color="auto"/>
              <w:left w:val="single" w:sz="12" w:space="0" w:color="auto"/>
              <w:right w:val="single" w:sz="12" w:space="0" w:color="auto"/>
            </w:tcBorders>
            <w:vAlign w:val="center"/>
          </w:tcPr>
          <w:p w:rsidR="00261131" w:rsidRPr="00613D7E" w:rsidRDefault="000237F3" w:rsidP="00607833">
            <w:pPr>
              <w:framePr w:hSpace="141" w:wrap="around" w:vAnchor="text" w:hAnchor="page" w:x="1880" w:y="518"/>
              <w:widowControl w:val="0"/>
              <w:autoSpaceDE w:val="0"/>
              <w:autoSpaceDN w:val="0"/>
              <w:adjustRightInd w:val="0"/>
              <w:rPr>
                <w:b/>
                <w:sz w:val="20"/>
                <w:szCs w:val="20"/>
              </w:rPr>
            </w:pPr>
            <w:r>
              <w:rPr>
                <w:b/>
                <w:sz w:val="20"/>
                <w:szCs w:val="20"/>
              </w:rPr>
              <w:t xml:space="preserve">  -31,7</w:t>
            </w:r>
          </w:p>
        </w:tc>
        <w:tc>
          <w:tcPr>
            <w:tcW w:w="1418" w:type="dxa"/>
            <w:tcBorders>
              <w:top w:val="single" w:sz="12" w:space="0" w:color="auto"/>
              <w:left w:val="single" w:sz="12" w:space="0" w:color="auto"/>
              <w:bottom w:val="nil"/>
              <w:right w:val="single" w:sz="12" w:space="0" w:color="auto"/>
            </w:tcBorders>
            <w:vAlign w:val="center"/>
          </w:tcPr>
          <w:p w:rsidR="00261131" w:rsidRPr="00613D7E" w:rsidRDefault="00261131" w:rsidP="00261131">
            <w:pPr>
              <w:framePr w:hSpace="141" w:wrap="around" w:vAnchor="text" w:hAnchor="page" w:x="1880" w:y="518"/>
              <w:widowControl w:val="0"/>
              <w:autoSpaceDE w:val="0"/>
              <w:autoSpaceDN w:val="0"/>
              <w:adjustRightInd w:val="0"/>
              <w:rPr>
                <w:b/>
                <w:sz w:val="20"/>
                <w:szCs w:val="20"/>
              </w:rPr>
            </w:pPr>
            <w:r>
              <w:rPr>
                <w:b/>
                <w:sz w:val="20"/>
                <w:szCs w:val="20"/>
              </w:rPr>
              <w:t xml:space="preserve">             -</w:t>
            </w:r>
          </w:p>
        </w:tc>
        <w:tc>
          <w:tcPr>
            <w:tcW w:w="992" w:type="dxa"/>
            <w:tcBorders>
              <w:top w:val="single" w:sz="12" w:space="0" w:color="auto"/>
              <w:left w:val="single" w:sz="12" w:space="0" w:color="auto"/>
              <w:bottom w:val="nil"/>
              <w:right w:val="single" w:sz="12" w:space="0" w:color="auto"/>
            </w:tcBorders>
            <w:vAlign w:val="center"/>
          </w:tcPr>
          <w:p w:rsidR="00261131" w:rsidRPr="00613D7E" w:rsidRDefault="000237F3" w:rsidP="00E34D2F">
            <w:pPr>
              <w:framePr w:hSpace="141" w:wrap="around" w:vAnchor="text" w:hAnchor="page" w:x="1880" w:y="518"/>
              <w:widowControl w:val="0"/>
              <w:autoSpaceDE w:val="0"/>
              <w:autoSpaceDN w:val="0"/>
              <w:adjustRightInd w:val="0"/>
              <w:rPr>
                <w:b/>
                <w:sz w:val="20"/>
                <w:szCs w:val="20"/>
              </w:rPr>
            </w:pPr>
            <w:r>
              <w:rPr>
                <w:b/>
                <w:sz w:val="20"/>
                <w:szCs w:val="20"/>
              </w:rPr>
              <w:t xml:space="preserve"> +100,0</w:t>
            </w:r>
          </w:p>
        </w:tc>
      </w:tr>
      <w:tr w:rsidR="00261131" w:rsidTr="00F13718">
        <w:trPr>
          <w:trHeight w:val="80"/>
        </w:trPr>
        <w:tc>
          <w:tcPr>
            <w:tcW w:w="1330" w:type="dxa"/>
            <w:tcBorders>
              <w:top w:val="nil"/>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p>
        </w:tc>
        <w:tc>
          <w:tcPr>
            <w:tcW w:w="1418" w:type="dxa"/>
            <w:vMerge/>
            <w:tcBorders>
              <w:left w:val="single" w:sz="12" w:space="0" w:color="auto"/>
              <w:bottom w:val="single" w:sz="12" w:space="0" w:color="auto"/>
              <w:right w:val="single" w:sz="12" w:space="0" w:color="auto"/>
            </w:tcBorders>
            <w:vAlign w:val="center"/>
          </w:tcPr>
          <w:p w:rsidR="00261131" w:rsidRPr="004E6AFC" w:rsidRDefault="00261131" w:rsidP="00261131">
            <w:pPr>
              <w:framePr w:hSpace="141" w:wrap="around" w:vAnchor="text" w:hAnchor="page" w:x="1880" w:y="518"/>
              <w:widowControl w:val="0"/>
              <w:autoSpaceDE w:val="0"/>
              <w:autoSpaceDN w:val="0"/>
              <w:adjustRightInd w:val="0"/>
              <w:jc w:val="right"/>
              <w:rPr>
                <w:b/>
                <w:sz w:val="20"/>
                <w:szCs w:val="20"/>
              </w:rPr>
            </w:pPr>
          </w:p>
        </w:tc>
        <w:tc>
          <w:tcPr>
            <w:tcW w:w="1701" w:type="dxa"/>
            <w:tcBorders>
              <w:top w:val="nil"/>
              <w:left w:val="single" w:sz="12" w:space="0" w:color="auto"/>
              <w:bottom w:val="single" w:sz="12" w:space="0" w:color="auto"/>
              <w:right w:val="single" w:sz="12" w:space="0" w:color="auto"/>
            </w:tcBorders>
            <w:vAlign w:val="center"/>
          </w:tcPr>
          <w:p w:rsidR="00261131" w:rsidRPr="00613D7E" w:rsidRDefault="00261131" w:rsidP="00261131">
            <w:pPr>
              <w:framePr w:hSpace="141" w:wrap="around" w:vAnchor="text" w:hAnchor="page" w:x="1880" w:y="518"/>
              <w:widowControl w:val="0"/>
              <w:autoSpaceDE w:val="0"/>
              <w:autoSpaceDN w:val="0"/>
              <w:adjustRightInd w:val="0"/>
              <w:jc w:val="right"/>
              <w:rPr>
                <w:b/>
                <w:sz w:val="20"/>
                <w:szCs w:val="20"/>
              </w:rPr>
            </w:pPr>
          </w:p>
        </w:tc>
        <w:tc>
          <w:tcPr>
            <w:tcW w:w="1842" w:type="dxa"/>
            <w:vMerge/>
            <w:tcBorders>
              <w:left w:val="single" w:sz="12" w:space="0" w:color="auto"/>
              <w:bottom w:val="single" w:sz="12" w:space="0" w:color="auto"/>
              <w:right w:val="single" w:sz="12" w:space="0" w:color="auto"/>
            </w:tcBorders>
            <w:vAlign w:val="center"/>
          </w:tcPr>
          <w:p w:rsidR="00261131" w:rsidRPr="00613D7E" w:rsidRDefault="00261131" w:rsidP="00261131">
            <w:pPr>
              <w:framePr w:hSpace="141" w:wrap="around" w:vAnchor="text" w:hAnchor="page" w:x="1880" w:y="518"/>
              <w:widowControl w:val="0"/>
              <w:autoSpaceDE w:val="0"/>
              <w:autoSpaceDN w:val="0"/>
              <w:adjustRightInd w:val="0"/>
              <w:jc w:val="right"/>
              <w:rPr>
                <w:b/>
                <w:sz w:val="20"/>
                <w:szCs w:val="20"/>
              </w:rPr>
            </w:pPr>
          </w:p>
        </w:tc>
        <w:tc>
          <w:tcPr>
            <w:tcW w:w="1418" w:type="dxa"/>
            <w:tcBorders>
              <w:top w:val="nil"/>
              <w:left w:val="single" w:sz="12" w:space="0" w:color="auto"/>
              <w:bottom w:val="single" w:sz="12" w:space="0" w:color="auto"/>
              <w:right w:val="single" w:sz="12" w:space="0" w:color="auto"/>
            </w:tcBorders>
            <w:vAlign w:val="center"/>
          </w:tcPr>
          <w:p w:rsidR="00261131" w:rsidRPr="00613D7E" w:rsidRDefault="00261131" w:rsidP="00261131">
            <w:pPr>
              <w:framePr w:hSpace="141" w:wrap="around" w:vAnchor="text" w:hAnchor="page" w:x="1880" w:y="518"/>
              <w:widowControl w:val="0"/>
              <w:autoSpaceDE w:val="0"/>
              <w:autoSpaceDN w:val="0"/>
              <w:adjustRightInd w:val="0"/>
              <w:jc w:val="right"/>
              <w:rPr>
                <w:b/>
                <w:sz w:val="20"/>
                <w:szCs w:val="20"/>
              </w:rPr>
            </w:pPr>
          </w:p>
        </w:tc>
        <w:tc>
          <w:tcPr>
            <w:tcW w:w="992" w:type="dxa"/>
            <w:tcBorders>
              <w:top w:val="nil"/>
              <w:left w:val="single" w:sz="12" w:space="0" w:color="auto"/>
              <w:bottom w:val="single" w:sz="12" w:space="0" w:color="auto"/>
              <w:right w:val="single" w:sz="12" w:space="0" w:color="auto"/>
            </w:tcBorders>
            <w:vAlign w:val="center"/>
          </w:tcPr>
          <w:p w:rsidR="00261131" w:rsidRPr="00613D7E" w:rsidRDefault="00261131" w:rsidP="00261131">
            <w:pPr>
              <w:framePr w:hSpace="141" w:wrap="around" w:vAnchor="text" w:hAnchor="page" w:x="1880" w:y="518"/>
              <w:widowControl w:val="0"/>
              <w:autoSpaceDE w:val="0"/>
              <w:autoSpaceDN w:val="0"/>
              <w:adjustRightInd w:val="0"/>
              <w:jc w:val="right"/>
              <w:rPr>
                <w:b/>
                <w:sz w:val="20"/>
                <w:szCs w:val="20"/>
              </w:rPr>
            </w:pPr>
          </w:p>
        </w:tc>
      </w:tr>
      <w:tr w:rsidR="00261131" w:rsidTr="00F13718">
        <w:trPr>
          <w:trHeight w:val="720"/>
        </w:trPr>
        <w:tc>
          <w:tcPr>
            <w:tcW w:w="1330"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4E6AFC" w:rsidRDefault="00261131" w:rsidP="00261131">
            <w:pPr>
              <w:framePr w:hSpace="141" w:wrap="around" w:vAnchor="text" w:hAnchor="page" w:x="1880" w:y="518"/>
              <w:widowControl w:val="0"/>
              <w:autoSpaceDE w:val="0"/>
              <w:autoSpaceDN w:val="0"/>
              <w:adjustRightInd w:val="0"/>
              <w:rPr>
                <w:b/>
                <w:sz w:val="20"/>
                <w:szCs w:val="20"/>
              </w:rPr>
            </w:pPr>
            <w:r w:rsidRPr="004E6AFC">
              <w:rPr>
                <w:b/>
                <w:sz w:val="20"/>
                <w:szCs w:val="20"/>
              </w:rPr>
              <w:t>Total des produits</w:t>
            </w:r>
          </w:p>
        </w:tc>
        <w:tc>
          <w:tcPr>
            <w:tcW w:w="1418"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4E6AFC" w:rsidRDefault="00E01CE2" w:rsidP="00E01CE2">
            <w:pPr>
              <w:framePr w:hSpace="141" w:wrap="around" w:vAnchor="text" w:hAnchor="page" w:x="1880" w:y="518"/>
              <w:widowControl w:val="0"/>
              <w:autoSpaceDE w:val="0"/>
              <w:autoSpaceDN w:val="0"/>
              <w:adjustRightInd w:val="0"/>
              <w:jc w:val="right"/>
              <w:rPr>
                <w:b/>
                <w:sz w:val="20"/>
                <w:szCs w:val="20"/>
              </w:rPr>
            </w:pPr>
            <w:r>
              <w:rPr>
                <w:b/>
                <w:sz w:val="20"/>
                <w:szCs w:val="20"/>
              </w:rPr>
              <w:t>440</w:t>
            </w:r>
            <w:r w:rsidR="00261131">
              <w:rPr>
                <w:b/>
                <w:sz w:val="20"/>
                <w:szCs w:val="20"/>
              </w:rPr>
              <w:t>.</w:t>
            </w:r>
            <w:r>
              <w:rPr>
                <w:b/>
                <w:sz w:val="20"/>
                <w:szCs w:val="20"/>
              </w:rPr>
              <w:t>395</w:t>
            </w:r>
            <w:r w:rsidR="00261131">
              <w:rPr>
                <w:b/>
                <w:sz w:val="20"/>
                <w:szCs w:val="20"/>
              </w:rPr>
              <w:t>.</w:t>
            </w:r>
            <w:r>
              <w:rPr>
                <w:b/>
                <w:sz w:val="20"/>
                <w:szCs w:val="20"/>
              </w:rPr>
              <w:t>579</w:t>
            </w:r>
          </w:p>
        </w:tc>
        <w:tc>
          <w:tcPr>
            <w:tcW w:w="1701"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613D7E" w:rsidRDefault="00CB797E" w:rsidP="00CB797E">
            <w:pPr>
              <w:framePr w:hSpace="141" w:wrap="around" w:vAnchor="text" w:hAnchor="page" w:x="1880" w:y="518"/>
              <w:widowControl w:val="0"/>
              <w:autoSpaceDE w:val="0"/>
              <w:autoSpaceDN w:val="0"/>
              <w:adjustRightInd w:val="0"/>
              <w:rPr>
                <w:b/>
                <w:sz w:val="20"/>
                <w:szCs w:val="20"/>
              </w:rPr>
            </w:pPr>
            <w:r>
              <w:rPr>
                <w:b/>
                <w:sz w:val="20"/>
                <w:szCs w:val="20"/>
              </w:rPr>
              <w:t>710</w:t>
            </w:r>
            <w:r w:rsidR="0012073A">
              <w:rPr>
                <w:b/>
                <w:sz w:val="20"/>
                <w:szCs w:val="20"/>
              </w:rPr>
              <w:t>.</w:t>
            </w:r>
            <w:r>
              <w:rPr>
                <w:b/>
                <w:sz w:val="20"/>
                <w:szCs w:val="20"/>
              </w:rPr>
              <w:t>225</w:t>
            </w:r>
            <w:r w:rsidR="0012073A">
              <w:rPr>
                <w:b/>
                <w:sz w:val="20"/>
                <w:szCs w:val="20"/>
              </w:rPr>
              <w:t>.</w:t>
            </w:r>
            <w:r>
              <w:rPr>
                <w:b/>
                <w:sz w:val="20"/>
                <w:szCs w:val="20"/>
              </w:rPr>
              <w:t>700</w:t>
            </w:r>
          </w:p>
        </w:tc>
        <w:tc>
          <w:tcPr>
            <w:tcW w:w="1842"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613D7E" w:rsidRDefault="000237F3" w:rsidP="00511600">
            <w:pPr>
              <w:framePr w:hSpace="141" w:wrap="around" w:vAnchor="text" w:hAnchor="page" w:x="1880" w:y="518"/>
              <w:widowControl w:val="0"/>
              <w:autoSpaceDE w:val="0"/>
              <w:autoSpaceDN w:val="0"/>
              <w:adjustRightInd w:val="0"/>
              <w:rPr>
                <w:b/>
                <w:sz w:val="20"/>
                <w:szCs w:val="20"/>
              </w:rPr>
            </w:pPr>
            <w:r>
              <w:rPr>
                <w:b/>
                <w:sz w:val="20"/>
                <w:szCs w:val="20"/>
              </w:rPr>
              <w:t>+61,3</w:t>
            </w:r>
          </w:p>
        </w:tc>
        <w:tc>
          <w:tcPr>
            <w:tcW w:w="1418"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613D7E" w:rsidRDefault="00E9180A" w:rsidP="00E9180A">
            <w:pPr>
              <w:framePr w:hSpace="141" w:wrap="around" w:vAnchor="text" w:hAnchor="page" w:x="1880" w:y="518"/>
              <w:widowControl w:val="0"/>
              <w:autoSpaceDE w:val="0"/>
              <w:autoSpaceDN w:val="0"/>
              <w:adjustRightInd w:val="0"/>
              <w:rPr>
                <w:b/>
                <w:sz w:val="20"/>
                <w:szCs w:val="20"/>
              </w:rPr>
            </w:pPr>
            <w:r>
              <w:rPr>
                <w:b/>
                <w:sz w:val="20"/>
                <w:szCs w:val="20"/>
              </w:rPr>
              <w:t>513</w:t>
            </w:r>
            <w:r w:rsidR="000C7817">
              <w:rPr>
                <w:b/>
                <w:sz w:val="20"/>
                <w:szCs w:val="20"/>
              </w:rPr>
              <w:t>.</w:t>
            </w:r>
            <w:r>
              <w:rPr>
                <w:b/>
                <w:sz w:val="20"/>
                <w:szCs w:val="20"/>
              </w:rPr>
              <w:t>895</w:t>
            </w:r>
            <w:r w:rsidR="000C7817">
              <w:rPr>
                <w:b/>
                <w:sz w:val="20"/>
                <w:szCs w:val="20"/>
              </w:rPr>
              <w:t>.</w:t>
            </w:r>
            <w:r>
              <w:rPr>
                <w:b/>
                <w:sz w:val="20"/>
                <w:szCs w:val="20"/>
              </w:rPr>
              <w:t>500</w:t>
            </w:r>
          </w:p>
        </w:tc>
        <w:tc>
          <w:tcPr>
            <w:tcW w:w="992"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613D7E" w:rsidRDefault="000237F3" w:rsidP="00E34D2F">
            <w:pPr>
              <w:framePr w:hSpace="141" w:wrap="around" w:vAnchor="text" w:hAnchor="page" w:x="1880" w:y="518"/>
              <w:widowControl w:val="0"/>
              <w:autoSpaceDE w:val="0"/>
              <w:autoSpaceDN w:val="0"/>
              <w:adjustRightInd w:val="0"/>
              <w:rPr>
                <w:b/>
                <w:sz w:val="20"/>
                <w:szCs w:val="20"/>
              </w:rPr>
            </w:pPr>
            <w:r>
              <w:rPr>
                <w:b/>
                <w:sz w:val="20"/>
                <w:szCs w:val="20"/>
              </w:rPr>
              <w:t xml:space="preserve">    +38,2</w:t>
            </w:r>
          </w:p>
        </w:tc>
      </w:tr>
    </w:tbl>
    <w:p w:rsidR="00AE224E" w:rsidRPr="00261131" w:rsidRDefault="00475C9B" w:rsidP="009D00F4">
      <w:pPr>
        <w:pStyle w:val="En-tte"/>
        <w:tabs>
          <w:tab w:val="clear" w:pos="4153"/>
          <w:tab w:val="clear" w:pos="8306"/>
        </w:tabs>
        <w:jc w:val="left"/>
        <w:rPr>
          <w:b/>
          <w:sz w:val="28"/>
          <w:u w:val="single"/>
        </w:rPr>
      </w:pPr>
      <w:r w:rsidRPr="00261131">
        <w:rPr>
          <w:b/>
          <w:sz w:val="28"/>
          <w:u w:val="single"/>
        </w:rPr>
        <w:t>EN DA</w:t>
      </w:r>
    </w:p>
    <w:p w:rsidR="00E9180A" w:rsidRDefault="00E9180A" w:rsidP="00E9180A">
      <w:pPr>
        <w:pStyle w:val="Corpsdetexte2"/>
        <w:tabs>
          <w:tab w:val="left" w:pos="505"/>
        </w:tabs>
        <w:jc w:val="both"/>
      </w:pPr>
      <w:r>
        <w:tab/>
      </w:r>
    </w:p>
    <w:p w:rsidR="00E9180A" w:rsidRDefault="00E9180A" w:rsidP="00E9180A">
      <w:pPr>
        <w:pStyle w:val="Corpsdetexte2"/>
        <w:tabs>
          <w:tab w:val="left" w:pos="505"/>
        </w:tabs>
        <w:jc w:val="both"/>
      </w:pPr>
    </w:p>
    <w:p w:rsidR="00A95723" w:rsidRDefault="00A95723" w:rsidP="00EC4D1B">
      <w:pPr>
        <w:pStyle w:val="Corpsdetexte2"/>
        <w:ind w:left="426"/>
        <w:jc w:val="both"/>
      </w:pPr>
      <w:r>
        <w:t>Le premier semestre 202</w:t>
      </w:r>
      <w:r w:rsidR="00004965">
        <w:t xml:space="preserve">2 s’est caractérisé par un véritable rebond, en termes d’activité et sa répercussion sur le </w:t>
      </w:r>
      <w:r w:rsidR="00C53046">
        <w:t xml:space="preserve"> chiffre d’affaires</w:t>
      </w:r>
      <w:r w:rsidR="00004965">
        <w:t xml:space="preserve">, </w:t>
      </w:r>
      <w:r w:rsidR="00EC4D1B">
        <w:t xml:space="preserve">avec une </w:t>
      </w:r>
      <w:r w:rsidR="00004965">
        <w:t xml:space="preserve">amélioration </w:t>
      </w:r>
      <w:r w:rsidR="00F163A1">
        <w:t xml:space="preserve">de l’ordre de </w:t>
      </w:r>
      <w:r w:rsidR="00004965">
        <w:t>68,6</w:t>
      </w:r>
      <w:r w:rsidR="00AC61FD">
        <w:t xml:space="preserve">%, </w:t>
      </w:r>
      <w:r w:rsidR="008D6327">
        <w:t>comparat</w:t>
      </w:r>
      <w:r>
        <w:t>ivement au premi</w:t>
      </w:r>
      <w:r w:rsidR="00004965">
        <w:t>er semestre 2021</w:t>
      </w:r>
      <w:r w:rsidR="00EC4D1B">
        <w:t xml:space="preserve">, </w:t>
      </w:r>
      <w:r w:rsidR="00004965">
        <w:t xml:space="preserve"> due à une reprise d’activité , tant attendue, par suite de </w:t>
      </w:r>
      <w:r w:rsidR="00F163A1">
        <w:t xml:space="preserve"> la crise sanitaire , en relation directe avec </w:t>
      </w:r>
      <w:r>
        <w:t xml:space="preserve"> la propagation de la pandémie du CORONAVIRUS </w:t>
      </w:r>
      <w:r w:rsidR="008669F2">
        <w:t>(COVID</w:t>
      </w:r>
      <w:r>
        <w:t>-19)</w:t>
      </w:r>
      <w:r w:rsidR="00004965">
        <w:t xml:space="preserve"> qui a terrassée, toutes les</w:t>
      </w:r>
      <w:r w:rsidR="00971C3D">
        <w:t xml:space="preserve"> économies à l’échelle mondiale, avec un ressenti dans l’activité hôtelière et de restauration.</w:t>
      </w:r>
    </w:p>
    <w:p w:rsidR="00706065" w:rsidRDefault="00706065" w:rsidP="00EF262E">
      <w:pPr>
        <w:pStyle w:val="Corpsdetexte2"/>
        <w:jc w:val="both"/>
      </w:pPr>
    </w:p>
    <w:p w:rsidR="00721A3B" w:rsidRDefault="00EF262E" w:rsidP="00B609A2">
      <w:pPr>
        <w:pStyle w:val="Corpsdetexte2"/>
        <w:ind w:left="426"/>
        <w:jc w:val="both"/>
      </w:pPr>
      <w:r>
        <w:t xml:space="preserve"> L</w:t>
      </w:r>
      <w:r w:rsidR="001C62F5">
        <w:t xml:space="preserve">es produits </w:t>
      </w:r>
      <w:r>
        <w:t>générés par l’activité principale</w:t>
      </w:r>
      <w:r w:rsidR="00721A3B">
        <w:t xml:space="preserve"> à l’échelle de la chaine, </w:t>
      </w:r>
      <w:r w:rsidR="008D6327">
        <w:t xml:space="preserve"> a</w:t>
      </w:r>
      <w:r w:rsidR="00004965">
        <w:t>u titre du premier semestre 2022</w:t>
      </w:r>
      <w:r w:rsidR="00721A3B">
        <w:t>,</w:t>
      </w:r>
      <w:r>
        <w:t xml:space="preserve"> se sont élevés à</w:t>
      </w:r>
      <w:r w:rsidR="00004965">
        <w:t xml:space="preserve"> 681,7</w:t>
      </w:r>
      <w:r>
        <w:t xml:space="preserve"> Millions de DA</w:t>
      </w:r>
      <w:r w:rsidR="00517004">
        <w:t>, dont</w:t>
      </w:r>
      <w:r w:rsidR="00004965">
        <w:t xml:space="preserve"> 582,0</w:t>
      </w:r>
      <w:r w:rsidR="00517004">
        <w:t xml:space="preserve"> Millions de DA ré</w:t>
      </w:r>
      <w:r w:rsidR="00916CEF">
        <w:t>alisés par l’entité EL-</w:t>
      </w:r>
      <w:proofErr w:type="spellStart"/>
      <w:r w:rsidR="00916CEF">
        <w:t>Aurassi</w:t>
      </w:r>
      <w:proofErr w:type="spellEnd"/>
      <w:r w:rsidR="00916CEF">
        <w:t>.</w:t>
      </w:r>
    </w:p>
    <w:p w:rsidR="00257AFB" w:rsidRDefault="00257AFB" w:rsidP="00B609A2">
      <w:pPr>
        <w:pStyle w:val="Corpsdetexte2"/>
        <w:ind w:left="426"/>
        <w:jc w:val="both"/>
      </w:pPr>
    </w:p>
    <w:p w:rsidR="00257AFB" w:rsidRDefault="00257AFB" w:rsidP="00B609A2">
      <w:pPr>
        <w:pStyle w:val="Corpsdetexte2"/>
        <w:ind w:left="426"/>
        <w:jc w:val="both"/>
      </w:pPr>
    </w:p>
    <w:p w:rsidR="001C62F5" w:rsidRDefault="001C62F5" w:rsidP="00517004">
      <w:pPr>
        <w:pStyle w:val="Corpsdetexte2"/>
        <w:jc w:val="both"/>
      </w:pPr>
    </w:p>
    <w:p w:rsidR="00004965" w:rsidRPr="00257AFB" w:rsidRDefault="00EF262E" w:rsidP="00257AFB">
      <w:pPr>
        <w:ind w:left="426"/>
        <w:jc w:val="both"/>
        <w:rPr>
          <w:sz w:val="28"/>
          <w:szCs w:val="28"/>
        </w:rPr>
      </w:pPr>
      <w:r>
        <w:rPr>
          <w:sz w:val="28"/>
          <w:szCs w:val="28"/>
        </w:rPr>
        <w:lastRenderedPageBreak/>
        <w:t>Les autres produits totalisent un montant de</w:t>
      </w:r>
      <w:r w:rsidR="00004965">
        <w:rPr>
          <w:sz w:val="28"/>
          <w:szCs w:val="28"/>
        </w:rPr>
        <w:t xml:space="preserve"> 28</w:t>
      </w:r>
      <w:r w:rsidR="00FD0652" w:rsidRPr="00613D7E">
        <w:rPr>
          <w:sz w:val="28"/>
          <w:szCs w:val="28"/>
        </w:rPr>
        <w:t>,</w:t>
      </w:r>
      <w:r w:rsidR="00004965">
        <w:rPr>
          <w:sz w:val="28"/>
          <w:szCs w:val="28"/>
        </w:rPr>
        <w:t>5</w:t>
      </w:r>
      <w:r w:rsidRPr="00613D7E">
        <w:rPr>
          <w:sz w:val="28"/>
          <w:szCs w:val="28"/>
        </w:rPr>
        <w:t xml:space="preserve"> Millions de DA contre</w:t>
      </w:r>
      <w:r w:rsidR="00004965">
        <w:rPr>
          <w:sz w:val="28"/>
          <w:szCs w:val="28"/>
        </w:rPr>
        <w:t xml:space="preserve"> 36,0</w:t>
      </w:r>
      <w:r>
        <w:rPr>
          <w:sz w:val="28"/>
          <w:szCs w:val="28"/>
        </w:rPr>
        <w:t xml:space="preserve">Millions de </w:t>
      </w:r>
      <w:r w:rsidR="00004965">
        <w:rPr>
          <w:sz w:val="28"/>
          <w:szCs w:val="28"/>
        </w:rPr>
        <w:t xml:space="preserve"> DA réalisés à fin juin 2021</w:t>
      </w:r>
      <w:r w:rsidR="008D6327">
        <w:rPr>
          <w:sz w:val="28"/>
          <w:szCs w:val="28"/>
        </w:rPr>
        <w:t>.</w:t>
      </w:r>
    </w:p>
    <w:p w:rsidR="00004965" w:rsidRDefault="00004965" w:rsidP="008D69A0">
      <w:pPr>
        <w:pStyle w:val="En-tte"/>
        <w:tabs>
          <w:tab w:val="left" w:pos="708"/>
        </w:tabs>
        <w:jc w:val="both"/>
        <w:rPr>
          <w:b/>
          <w:color w:val="0000FF"/>
          <w:sz w:val="32"/>
          <w:u w:val="single"/>
        </w:rPr>
      </w:pPr>
    </w:p>
    <w:p w:rsidR="00AE224E" w:rsidRPr="0062729E" w:rsidRDefault="000744D2" w:rsidP="008D69A0">
      <w:pPr>
        <w:pStyle w:val="En-tte"/>
        <w:tabs>
          <w:tab w:val="left" w:pos="708"/>
        </w:tabs>
        <w:jc w:val="both"/>
        <w:rPr>
          <w:b/>
          <w:color w:val="0000FF"/>
          <w:sz w:val="32"/>
        </w:rPr>
      </w:pPr>
      <w:r>
        <w:rPr>
          <w:b/>
          <w:color w:val="0000FF"/>
          <w:sz w:val="32"/>
          <w:u w:val="single"/>
        </w:rPr>
        <w:t>4</w:t>
      </w:r>
      <w:r w:rsidR="00AE224E" w:rsidRPr="00BB3DF1">
        <w:rPr>
          <w:b/>
          <w:color w:val="0000FF"/>
          <w:sz w:val="32"/>
          <w:u w:val="single"/>
        </w:rPr>
        <w:t>-1-1</w:t>
      </w:r>
      <w:r w:rsidR="00AE224E">
        <w:rPr>
          <w:b/>
          <w:color w:val="0000FF"/>
          <w:sz w:val="32"/>
          <w:u w:val="single"/>
        </w:rPr>
        <w:t>-/ Hébergement</w:t>
      </w:r>
      <w:r w:rsidR="00AE224E">
        <w:rPr>
          <w:rFonts w:hint="eastAsia"/>
          <w:b/>
          <w:color w:val="0000FF"/>
          <w:sz w:val="32"/>
          <w:u w:val="single"/>
        </w:rPr>
        <w:t> </w:t>
      </w:r>
      <w:r w:rsidR="00AE224E">
        <w:rPr>
          <w:b/>
          <w:color w:val="0000FF"/>
          <w:sz w:val="32"/>
          <w:u w:val="single"/>
        </w:rPr>
        <w:t>:</w:t>
      </w:r>
    </w:p>
    <w:p w:rsidR="0062729E" w:rsidRDefault="0062729E" w:rsidP="00C71AB7">
      <w:pPr>
        <w:ind w:left="426"/>
        <w:jc w:val="both"/>
        <w:rPr>
          <w:sz w:val="28"/>
        </w:rPr>
      </w:pPr>
    </w:p>
    <w:p w:rsidR="00213EBB" w:rsidRDefault="00AE224E" w:rsidP="003778BC">
      <w:pPr>
        <w:ind w:left="426"/>
        <w:jc w:val="both"/>
        <w:rPr>
          <w:sz w:val="28"/>
        </w:rPr>
      </w:pPr>
      <w:r>
        <w:rPr>
          <w:sz w:val="28"/>
        </w:rPr>
        <w:t>L</w:t>
      </w:r>
      <w:r w:rsidR="006E53FD">
        <w:rPr>
          <w:sz w:val="28"/>
        </w:rPr>
        <w:t xml:space="preserve">e chiffre </w:t>
      </w:r>
      <w:r w:rsidR="000A12FB">
        <w:rPr>
          <w:sz w:val="28"/>
        </w:rPr>
        <w:t xml:space="preserve">d’affaires </w:t>
      </w:r>
      <w:r w:rsidR="00721A3B">
        <w:rPr>
          <w:sz w:val="28"/>
        </w:rPr>
        <w:t xml:space="preserve">portant sur l’activité </w:t>
      </w:r>
      <w:r w:rsidR="00960E55">
        <w:rPr>
          <w:sz w:val="28"/>
        </w:rPr>
        <w:t xml:space="preserve">hébergement </w:t>
      </w:r>
      <w:r w:rsidR="00ED3832">
        <w:rPr>
          <w:sz w:val="28"/>
        </w:rPr>
        <w:t xml:space="preserve">s’élève </w:t>
      </w:r>
      <w:r w:rsidR="00DC3C89">
        <w:rPr>
          <w:sz w:val="28"/>
        </w:rPr>
        <w:t xml:space="preserve">à </w:t>
      </w:r>
      <w:r w:rsidR="003778BC">
        <w:rPr>
          <w:sz w:val="28"/>
        </w:rPr>
        <w:t>303,4</w:t>
      </w:r>
      <w:r w:rsidR="00DC3C89">
        <w:rPr>
          <w:sz w:val="28"/>
        </w:rPr>
        <w:t xml:space="preserve">Millions de </w:t>
      </w:r>
      <w:r w:rsidR="00385576">
        <w:rPr>
          <w:sz w:val="28"/>
        </w:rPr>
        <w:t>DA,</w:t>
      </w:r>
      <w:r w:rsidR="00ED3832">
        <w:rPr>
          <w:sz w:val="28"/>
        </w:rPr>
        <w:t xml:space="preserve"> dont</w:t>
      </w:r>
      <w:r w:rsidR="003778BC">
        <w:rPr>
          <w:sz w:val="28"/>
        </w:rPr>
        <w:t xml:space="preserve"> 249,4</w:t>
      </w:r>
      <w:r w:rsidR="00ED3832">
        <w:rPr>
          <w:sz w:val="28"/>
        </w:rPr>
        <w:t xml:space="preserve"> Millions de DA proviennent de l’activité hébergement de l’unité EL-</w:t>
      </w:r>
      <w:proofErr w:type="spellStart"/>
      <w:r w:rsidR="00ED3832">
        <w:rPr>
          <w:sz w:val="28"/>
        </w:rPr>
        <w:t>Aurassi</w:t>
      </w:r>
      <w:proofErr w:type="spellEnd"/>
      <w:r w:rsidR="00ED3832">
        <w:rPr>
          <w:sz w:val="28"/>
        </w:rPr>
        <w:t xml:space="preserve">, soit  </w:t>
      </w:r>
      <w:r w:rsidR="003778BC">
        <w:rPr>
          <w:sz w:val="28"/>
        </w:rPr>
        <w:t>82,2</w:t>
      </w:r>
      <w:r w:rsidR="00ED3832">
        <w:rPr>
          <w:sz w:val="28"/>
        </w:rPr>
        <w:t>% du chiffre d’affaires global.</w:t>
      </w:r>
    </w:p>
    <w:p w:rsidR="00385576" w:rsidRDefault="00385576" w:rsidP="006470B1">
      <w:pPr>
        <w:jc w:val="both"/>
        <w:rPr>
          <w:sz w:val="28"/>
        </w:rPr>
      </w:pPr>
    </w:p>
    <w:p w:rsidR="00C53046" w:rsidRDefault="00385576" w:rsidP="00A67551">
      <w:pPr>
        <w:ind w:left="426"/>
        <w:jc w:val="both"/>
        <w:rPr>
          <w:sz w:val="28"/>
        </w:rPr>
      </w:pPr>
      <w:r>
        <w:rPr>
          <w:sz w:val="28"/>
        </w:rPr>
        <w:t>Le</w:t>
      </w:r>
      <w:r w:rsidR="00CD2182">
        <w:rPr>
          <w:sz w:val="28"/>
        </w:rPr>
        <w:t xml:space="preserve"> tarif</w:t>
      </w:r>
      <w:r>
        <w:rPr>
          <w:sz w:val="28"/>
        </w:rPr>
        <w:t xml:space="preserve"> moyen des </w:t>
      </w:r>
      <w:r w:rsidR="002346B0">
        <w:rPr>
          <w:sz w:val="28"/>
        </w:rPr>
        <w:t xml:space="preserve">chambres, </w:t>
      </w:r>
      <w:r w:rsidR="00A67551">
        <w:rPr>
          <w:sz w:val="28"/>
        </w:rPr>
        <w:t xml:space="preserve">toutes catégories confondues, </w:t>
      </w:r>
      <w:r w:rsidR="002346B0">
        <w:rPr>
          <w:sz w:val="28"/>
        </w:rPr>
        <w:t>pour la seule entité EL-</w:t>
      </w:r>
      <w:proofErr w:type="spellStart"/>
      <w:r w:rsidR="002346B0">
        <w:rPr>
          <w:sz w:val="28"/>
        </w:rPr>
        <w:t>Aurassi</w:t>
      </w:r>
      <w:r>
        <w:rPr>
          <w:sz w:val="28"/>
        </w:rPr>
        <w:t>se</w:t>
      </w:r>
      <w:proofErr w:type="spellEnd"/>
      <w:r>
        <w:rPr>
          <w:sz w:val="28"/>
        </w:rPr>
        <w:t xml:space="preserve"> situe sur la base des tarifs publics</w:t>
      </w:r>
      <w:r w:rsidR="00CD2182">
        <w:rPr>
          <w:sz w:val="28"/>
        </w:rPr>
        <w:t xml:space="preserve"> affichés </w:t>
      </w:r>
      <w:r w:rsidR="00C53046">
        <w:rPr>
          <w:sz w:val="28"/>
        </w:rPr>
        <w:t>et des arrangements opérés à</w:t>
      </w:r>
      <w:r w:rsidR="00A67551">
        <w:rPr>
          <w:sz w:val="28"/>
        </w:rPr>
        <w:t xml:space="preserve"> 20</w:t>
      </w:r>
      <w:r w:rsidR="002346B0">
        <w:rPr>
          <w:sz w:val="28"/>
        </w:rPr>
        <w:t>.</w:t>
      </w:r>
      <w:r w:rsidR="00A67551">
        <w:rPr>
          <w:sz w:val="28"/>
        </w:rPr>
        <w:t>136</w:t>
      </w:r>
      <w:r w:rsidR="00B609A2">
        <w:rPr>
          <w:sz w:val="28"/>
        </w:rPr>
        <w:t>,</w:t>
      </w:r>
      <w:r w:rsidR="00A67551">
        <w:rPr>
          <w:sz w:val="28"/>
        </w:rPr>
        <w:t xml:space="preserve">20 </w:t>
      </w:r>
      <w:r w:rsidR="00CD2182">
        <w:rPr>
          <w:sz w:val="28"/>
        </w:rPr>
        <w:t>DA</w:t>
      </w:r>
      <w:r w:rsidR="00B609A2">
        <w:rPr>
          <w:sz w:val="28"/>
        </w:rPr>
        <w:t xml:space="preserve"> TTC</w:t>
      </w:r>
      <w:r w:rsidR="00CD2182">
        <w:rPr>
          <w:sz w:val="28"/>
        </w:rPr>
        <w:t xml:space="preserve">. </w:t>
      </w:r>
    </w:p>
    <w:p w:rsidR="00362BDB" w:rsidRDefault="00362BDB" w:rsidP="00C53046">
      <w:pPr>
        <w:jc w:val="both"/>
        <w:rPr>
          <w:sz w:val="28"/>
        </w:rPr>
      </w:pPr>
    </w:p>
    <w:p w:rsidR="008D6327" w:rsidRDefault="00BF4A83" w:rsidP="003778BC">
      <w:pPr>
        <w:ind w:left="426"/>
        <w:jc w:val="both"/>
        <w:rPr>
          <w:sz w:val="28"/>
        </w:rPr>
      </w:pPr>
      <w:r>
        <w:rPr>
          <w:sz w:val="28"/>
        </w:rPr>
        <w:t xml:space="preserve">Sur le plan </w:t>
      </w:r>
      <w:r w:rsidR="00944332">
        <w:rPr>
          <w:sz w:val="28"/>
        </w:rPr>
        <w:t>physique,</w:t>
      </w:r>
      <w:r w:rsidR="00AE224E">
        <w:rPr>
          <w:sz w:val="28"/>
        </w:rPr>
        <w:t xml:space="preserve"> le nombre de </w:t>
      </w:r>
      <w:r w:rsidR="00843C24">
        <w:rPr>
          <w:sz w:val="28"/>
        </w:rPr>
        <w:t>chambres  louées est de</w:t>
      </w:r>
      <w:r w:rsidR="003778BC">
        <w:rPr>
          <w:sz w:val="28"/>
        </w:rPr>
        <w:t xml:space="preserve"> 23</w:t>
      </w:r>
      <w:r w:rsidR="00820684">
        <w:rPr>
          <w:sz w:val="28"/>
        </w:rPr>
        <w:t>.</w:t>
      </w:r>
      <w:r w:rsidR="003778BC">
        <w:rPr>
          <w:sz w:val="28"/>
        </w:rPr>
        <w:t xml:space="preserve">455 </w:t>
      </w:r>
      <w:r w:rsidR="00843C24">
        <w:rPr>
          <w:sz w:val="28"/>
        </w:rPr>
        <w:t xml:space="preserve">chambres, avec un taux d’occupation  </w:t>
      </w:r>
      <w:r w:rsidR="001A7738">
        <w:rPr>
          <w:sz w:val="28"/>
        </w:rPr>
        <w:t>moyen de</w:t>
      </w:r>
      <w:r w:rsidR="003778BC">
        <w:rPr>
          <w:sz w:val="28"/>
        </w:rPr>
        <w:t xml:space="preserve"> 19</w:t>
      </w:r>
      <w:r w:rsidR="00B609A2">
        <w:rPr>
          <w:sz w:val="28"/>
        </w:rPr>
        <w:t>,</w:t>
      </w:r>
      <w:r w:rsidR="003778BC">
        <w:rPr>
          <w:sz w:val="28"/>
        </w:rPr>
        <w:t xml:space="preserve">93 </w:t>
      </w:r>
      <w:r w:rsidR="001A7738">
        <w:rPr>
          <w:sz w:val="28"/>
        </w:rPr>
        <w:t xml:space="preserve">%, il est </w:t>
      </w:r>
      <w:r w:rsidR="008615E6">
        <w:rPr>
          <w:sz w:val="28"/>
        </w:rPr>
        <w:t xml:space="preserve"> en</w:t>
      </w:r>
      <w:r w:rsidR="00A67551">
        <w:rPr>
          <w:sz w:val="28"/>
        </w:rPr>
        <w:t>hausse,</w:t>
      </w:r>
      <w:r w:rsidR="005B558A">
        <w:rPr>
          <w:sz w:val="28"/>
        </w:rPr>
        <w:t xml:space="preserve"> soit</w:t>
      </w:r>
      <w:r w:rsidR="003778BC">
        <w:rPr>
          <w:sz w:val="28"/>
        </w:rPr>
        <w:t xml:space="preserve">plus </w:t>
      </w:r>
      <w:r w:rsidR="00B609A2">
        <w:rPr>
          <w:sz w:val="28"/>
        </w:rPr>
        <w:t>22</w:t>
      </w:r>
      <w:r w:rsidR="003778BC">
        <w:rPr>
          <w:sz w:val="28"/>
        </w:rPr>
        <w:t>,0</w:t>
      </w:r>
      <w:r w:rsidR="008615E6">
        <w:rPr>
          <w:sz w:val="28"/>
        </w:rPr>
        <w:t>%</w:t>
      </w:r>
      <w:r w:rsidR="00C53046">
        <w:rPr>
          <w:sz w:val="28"/>
        </w:rPr>
        <w:t>.</w:t>
      </w:r>
    </w:p>
    <w:p w:rsidR="00C53046" w:rsidRDefault="00C53046" w:rsidP="00B609A2">
      <w:pPr>
        <w:ind w:left="426"/>
        <w:jc w:val="both"/>
        <w:rPr>
          <w:sz w:val="28"/>
        </w:rPr>
      </w:pPr>
    </w:p>
    <w:p w:rsidR="00362BDB" w:rsidRDefault="00843C24" w:rsidP="003778BC">
      <w:pPr>
        <w:ind w:left="426"/>
        <w:jc w:val="both"/>
        <w:rPr>
          <w:sz w:val="28"/>
        </w:rPr>
      </w:pPr>
      <w:r>
        <w:rPr>
          <w:sz w:val="28"/>
        </w:rPr>
        <w:t>Le nombre de nuitées</w:t>
      </w:r>
      <w:r w:rsidR="00BF4A83">
        <w:rPr>
          <w:sz w:val="28"/>
        </w:rPr>
        <w:t xml:space="preserve">réalisées </w:t>
      </w:r>
      <w:r>
        <w:rPr>
          <w:sz w:val="28"/>
        </w:rPr>
        <w:t xml:space="preserve">à fin </w:t>
      </w:r>
      <w:r w:rsidR="003778BC">
        <w:rPr>
          <w:sz w:val="28"/>
        </w:rPr>
        <w:t xml:space="preserve">juin 2022 </w:t>
      </w:r>
      <w:r w:rsidR="00820684">
        <w:rPr>
          <w:sz w:val="28"/>
        </w:rPr>
        <w:t xml:space="preserve">est </w:t>
      </w:r>
      <w:r w:rsidR="005B558A">
        <w:rPr>
          <w:sz w:val="28"/>
        </w:rPr>
        <w:t>de</w:t>
      </w:r>
      <w:r w:rsidR="003778BC">
        <w:rPr>
          <w:sz w:val="28"/>
        </w:rPr>
        <w:t xml:space="preserve"> 28</w:t>
      </w:r>
      <w:r w:rsidR="008615E6">
        <w:rPr>
          <w:sz w:val="28"/>
        </w:rPr>
        <w:t>.</w:t>
      </w:r>
      <w:r w:rsidR="003778BC">
        <w:rPr>
          <w:sz w:val="28"/>
        </w:rPr>
        <w:t>116</w:t>
      </w:r>
      <w:r w:rsidR="00960E55">
        <w:rPr>
          <w:sz w:val="28"/>
        </w:rPr>
        <w:t xml:space="preserve"> nuitées </w:t>
      </w:r>
      <w:r>
        <w:rPr>
          <w:sz w:val="28"/>
        </w:rPr>
        <w:t>dont</w:t>
      </w:r>
      <w:r w:rsidR="003778BC">
        <w:rPr>
          <w:sz w:val="28"/>
        </w:rPr>
        <w:t xml:space="preserve"> 8</w:t>
      </w:r>
      <w:r w:rsidR="008615E6">
        <w:rPr>
          <w:sz w:val="28"/>
        </w:rPr>
        <w:t>.</w:t>
      </w:r>
      <w:r w:rsidR="003778BC">
        <w:rPr>
          <w:sz w:val="28"/>
        </w:rPr>
        <w:t>2</w:t>
      </w:r>
      <w:r w:rsidR="00775716">
        <w:rPr>
          <w:sz w:val="28"/>
        </w:rPr>
        <w:t>65</w:t>
      </w:r>
      <w:r>
        <w:rPr>
          <w:sz w:val="28"/>
        </w:rPr>
        <w:t xml:space="preserve"> nuitées </w:t>
      </w:r>
      <w:r w:rsidR="00362BDB">
        <w:rPr>
          <w:sz w:val="28"/>
        </w:rPr>
        <w:t xml:space="preserve"> réalisées avec une clientèle étrangère.</w:t>
      </w:r>
    </w:p>
    <w:p w:rsidR="00D47CDE" w:rsidRDefault="00D47CDE" w:rsidP="00820684">
      <w:pPr>
        <w:ind w:left="426"/>
        <w:jc w:val="both"/>
        <w:rPr>
          <w:sz w:val="28"/>
        </w:rPr>
      </w:pPr>
    </w:p>
    <w:p w:rsidR="00775716" w:rsidRDefault="006D037E" w:rsidP="00A67551">
      <w:pPr>
        <w:ind w:left="426"/>
        <w:jc w:val="both"/>
        <w:rPr>
          <w:sz w:val="28"/>
        </w:rPr>
      </w:pPr>
      <w:r>
        <w:rPr>
          <w:sz w:val="28"/>
        </w:rPr>
        <w:t>L’unité EL-</w:t>
      </w:r>
      <w:proofErr w:type="spellStart"/>
      <w:r>
        <w:rPr>
          <w:sz w:val="28"/>
        </w:rPr>
        <w:t>Aurassi</w:t>
      </w:r>
      <w:proofErr w:type="spellEnd"/>
      <w:r>
        <w:rPr>
          <w:sz w:val="28"/>
        </w:rPr>
        <w:t xml:space="preserve">, concourt avec une participation </w:t>
      </w:r>
      <w:r w:rsidR="0061437C">
        <w:rPr>
          <w:sz w:val="28"/>
        </w:rPr>
        <w:t xml:space="preserve">à </w:t>
      </w:r>
      <w:r>
        <w:rPr>
          <w:sz w:val="28"/>
        </w:rPr>
        <w:t>la réalisation de ces données physique</w:t>
      </w:r>
      <w:r w:rsidR="0061437C">
        <w:rPr>
          <w:sz w:val="28"/>
        </w:rPr>
        <w:t>s</w:t>
      </w:r>
      <w:r w:rsidR="00775716">
        <w:rPr>
          <w:sz w:val="28"/>
        </w:rPr>
        <w:t>à hauteur de</w:t>
      </w:r>
      <w:r w:rsidR="00A67551">
        <w:rPr>
          <w:sz w:val="28"/>
        </w:rPr>
        <w:t xml:space="preserve"> 13</w:t>
      </w:r>
      <w:r>
        <w:rPr>
          <w:sz w:val="28"/>
        </w:rPr>
        <w:t>.</w:t>
      </w:r>
      <w:r w:rsidR="00A67551">
        <w:rPr>
          <w:sz w:val="28"/>
        </w:rPr>
        <w:t>499</w:t>
      </w:r>
      <w:r w:rsidR="0061437C">
        <w:rPr>
          <w:sz w:val="28"/>
        </w:rPr>
        <w:t xml:space="preserve"> chambres louées et </w:t>
      </w:r>
      <w:r>
        <w:rPr>
          <w:sz w:val="28"/>
        </w:rPr>
        <w:t xml:space="preserve"> un taux d’occupation de</w:t>
      </w:r>
      <w:r w:rsidR="00A67551">
        <w:rPr>
          <w:sz w:val="28"/>
        </w:rPr>
        <w:t xml:space="preserve"> 17</w:t>
      </w:r>
      <w:r w:rsidR="00775716">
        <w:rPr>
          <w:sz w:val="28"/>
        </w:rPr>
        <w:t>,</w:t>
      </w:r>
      <w:r w:rsidR="00A67551">
        <w:rPr>
          <w:sz w:val="28"/>
        </w:rPr>
        <w:t xml:space="preserve">21 </w:t>
      </w:r>
      <w:r>
        <w:rPr>
          <w:sz w:val="28"/>
        </w:rPr>
        <w:t>%.</w:t>
      </w:r>
    </w:p>
    <w:p w:rsidR="00775716" w:rsidRDefault="00775716" w:rsidP="00775716">
      <w:pPr>
        <w:ind w:left="426"/>
        <w:jc w:val="both"/>
        <w:rPr>
          <w:sz w:val="28"/>
        </w:rPr>
      </w:pPr>
    </w:p>
    <w:p w:rsidR="00775716" w:rsidRDefault="00775716" w:rsidP="00A67551">
      <w:pPr>
        <w:ind w:left="426"/>
        <w:jc w:val="both"/>
        <w:rPr>
          <w:sz w:val="28"/>
        </w:rPr>
      </w:pPr>
      <w:r>
        <w:rPr>
          <w:sz w:val="28"/>
        </w:rPr>
        <w:t>Quant aux unités du Sud, elles totalisent à elles seules</w:t>
      </w:r>
      <w:r w:rsidR="00A67551">
        <w:rPr>
          <w:sz w:val="28"/>
        </w:rPr>
        <w:t xml:space="preserve"> 9</w:t>
      </w:r>
      <w:r>
        <w:rPr>
          <w:sz w:val="28"/>
        </w:rPr>
        <w:t>.</w:t>
      </w:r>
      <w:r w:rsidR="00A67551">
        <w:rPr>
          <w:sz w:val="28"/>
        </w:rPr>
        <w:t>956</w:t>
      </w:r>
      <w:r>
        <w:rPr>
          <w:sz w:val="28"/>
        </w:rPr>
        <w:t xml:space="preserve"> chambres </w:t>
      </w:r>
      <w:r w:rsidR="00C53046">
        <w:rPr>
          <w:sz w:val="28"/>
        </w:rPr>
        <w:t>louées,</w:t>
      </w:r>
      <w:r>
        <w:rPr>
          <w:sz w:val="28"/>
        </w:rPr>
        <w:t xml:space="preserve"> soit</w:t>
      </w:r>
      <w:r w:rsidR="00A67551">
        <w:rPr>
          <w:sz w:val="28"/>
        </w:rPr>
        <w:t xml:space="preserve"> 42,4</w:t>
      </w:r>
      <w:r>
        <w:rPr>
          <w:sz w:val="28"/>
        </w:rPr>
        <w:t xml:space="preserve">% du nombre total de chambres </w:t>
      </w:r>
      <w:r w:rsidR="00C53046">
        <w:rPr>
          <w:sz w:val="28"/>
        </w:rPr>
        <w:t xml:space="preserve">louées, </w:t>
      </w:r>
      <w:r>
        <w:rPr>
          <w:sz w:val="28"/>
        </w:rPr>
        <w:t>avec en moyenne un nombre de ch</w:t>
      </w:r>
      <w:r w:rsidR="00C53046">
        <w:rPr>
          <w:sz w:val="28"/>
        </w:rPr>
        <w:t>ambres louées de</w:t>
      </w:r>
      <w:r w:rsidR="00A67551">
        <w:rPr>
          <w:sz w:val="28"/>
        </w:rPr>
        <w:t xml:space="preserve"> 3</w:t>
      </w:r>
      <w:r w:rsidR="00C53046">
        <w:rPr>
          <w:sz w:val="28"/>
        </w:rPr>
        <w:t>.</w:t>
      </w:r>
      <w:r w:rsidR="00A67551">
        <w:rPr>
          <w:sz w:val="28"/>
        </w:rPr>
        <w:t>188</w:t>
      </w:r>
      <w:r w:rsidR="00C53046">
        <w:rPr>
          <w:sz w:val="28"/>
        </w:rPr>
        <w:t xml:space="preserve"> Chambres par entité.</w:t>
      </w:r>
    </w:p>
    <w:p w:rsidR="009F60BC" w:rsidRPr="004E7371" w:rsidRDefault="009F60BC">
      <w:pPr>
        <w:jc w:val="both"/>
        <w:rPr>
          <w:color w:val="1F497D" w:themeColor="text2"/>
          <w:sz w:val="28"/>
        </w:rPr>
      </w:pPr>
    </w:p>
    <w:p w:rsidR="005053E9" w:rsidRDefault="000744D2" w:rsidP="00C10196">
      <w:pPr>
        <w:jc w:val="both"/>
        <w:rPr>
          <w:sz w:val="28"/>
        </w:rPr>
      </w:pPr>
      <w:r>
        <w:rPr>
          <w:b/>
          <w:color w:val="0000FF"/>
          <w:sz w:val="32"/>
          <w:u w:val="single"/>
        </w:rPr>
        <w:t>4-1-2-/ Restauration :</w:t>
      </w:r>
      <w:r>
        <w:rPr>
          <w:rFonts w:hint="eastAsia"/>
          <w:b/>
          <w:color w:val="0000FF"/>
          <w:sz w:val="32"/>
          <w:u w:val="single"/>
        </w:rPr>
        <w:t> </w:t>
      </w:r>
    </w:p>
    <w:p w:rsidR="000744D2" w:rsidRDefault="000744D2" w:rsidP="00C10196">
      <w:pPr>
        <w:jc w:val="both"/>
        <w:rPr>
          <w:sz w:val="28"/>
        </w:rPr>
      </w:pPr>
    </w:p>
    <w:p w:rsidR="005053E9" w:rsidRDefault="00AE224E" w:rsidP="00A67551">
      <w:pPr>
        <w:ind w:left="567"/>
        <w:jc w:val="both"/>
        <w:rPr>
          <w:sz w:val="28"/>
        </w:rPr>
      </w:pPr>
      <w:r>
        <w:rPr>
          <w:sz w:val="28"/>
        </w:rPr>
        <w:t xml:space="preserve">Le chiffre </w:t>
      </w:r>
      <w:r w:rsidR="00CF4BF0">
        <w:rPr>
          <w:sz w:val="28"/>
        </w:rPr>
        <w:t>d’affaires restauration</w:t>
      </w:r>
      <w:r w:rsidR="00A67551">
        <w:rPr>
          <w:sz w:val="28"/>
        </w:rPr>
        <w:t xml:space="preserve">intégrant </w:t>
      </w:r>
      <w:r w:rsidR="005B558A">
        <w:rPr>
          <w:sz w:val="28"/>
        </w:rPr>
        <w:t xml:space="preserve">l’activité banquets </w:t>
      </w:r>
      <w:r w:rsidR="0061437C">
        <w:rPr>
          <w:sz w:val="28"/>
        </w:rPr>
        <w:t>s'élève à</w:t>
      </w:r>
      <w:r w:rsidR="00A67551">
        <w:rPr>
          <w:sz w:val="28"/>
        </w:rPr>
        <w:t xml:space="preserve"> 329,4 </w:t>
      </w:r>
      <w:r w:rsidR="00960E55">
        <w:rPr>
          <w:sz w:val="28"/>
        </w:rPr>
        <w:t>Millions de DA dont</w:t>
      </w:r>
      <w:r w:rsidR="00A67551">
        <w:rPr>
          <w:sz w:val="28"/>
        </w:rPr>
        <w:t xml:space="preserve"> 284,7 </w:t>
      </w:r>
      <w:r w:rsidR="005053E9">
        <w:rPr>
          <w:sz w:val="28"/>
        </w:rPr>
        <w:t xml:space="preserve">Millions de DA </w:t>
      </w:r>
      <w:r w:rsidR="0061437C">
        <w:rPr>
          <w:sz w:val="28"/>
        </w:rPr>
        <w:t>proviennent</w:t>
      </w:r>
      <w:r w:rsidR="006D037E">
        <w:rPr>
          <w:sz w:val="28"/>
        </w:rPr>
        <w:t xml:space="preserve"> de l’entité EL-</w:t>
      </w:r>
      <w:proofErr w:type="spellStart"/>
      <w:r w:rsidR="006D037E">
        <w:rPr>
          <w:sz w:val="28"/>
        </w:rPr>
        <w:t>Aurassi</w:t>
      </w:r>
      <w:proofErr w:type="spellEnd"/>
      <w:r w:rsidR="006D037E">
        <w:rPr>
          <w:sz w:val="28"/>
        </w:rPr>
        <w:t>, soit</w:t>
      </w:r>
      <w:r w:rsidR="00A67551">
        <w:rPr>
          <w:sz w:val="28"/>
        </w:rPr>
        <w:t xml:space="preserve"> 86,4</w:t>
      </w:r>
      <w:r w:rsidR="006D037E">
        <w:rPr>
          <w:sz w:val="28"/>
        </w:rPr>
        <w:t>% du</w:t>
      </w:r>
      <w:r w:rsidR="0061437C">
        <w:rPr>
          <w:sz w:val="28"/>
        </w:rPr>
        <w:t xml:space="preserve"> chiffre d’affaires </w:t>
      </w:r>
      <w:r w:rsidR="006D037E">
        <w:rPr>
          <w:sz w:val="28"/>
        </w:rPr>
        <w:t xml:space="preserve"> restauration.</w:t>
      </w:r>
    </w:p>
    <w:p w:rsidR="0006244F" w:rsidRDefault="0006244F" w:rsidP="00C71AB7">
      <w:pPr>
        <w:ind w:left="567"/>
        <w:jc w:val="both"/>
        <w:rPr>
          <w:sz w:val="28"/>
        </w:rPr>
      </w:pPr>
    </w:p>
    <w:p w:rsidR="005D2650" w:rsidRDefault="006D037E" w:rsidP="00971C3D">
      <w:pPr>
        <w:ind w:left="567"/>
        <w:jc w:val="both"/>
        <w:rPr>
          <w:sz w:val="28"/>
        </w:rPr>
      </w:pPr>
      <w:r>
        <w:rPr>
          <w:sz w:val="28"/>
        </w:rPr>
        <w:t>Sur un nombre de couverts servis de</w:t>
      </w:r>
      <w:r w:rsidR="00A67551">
        <w:rPr>
          <w:sz w:val="28"/>
        </w:rPr>
        <w:t xml:space="preserve"> 50</w:t>
      </w:r>
      <w:r w:rsidR="004D32B7">
        <w:rPr>
          <w:sz w:val="28"/>
        </w:rPr>
        <w:t>.</w:t>
      </w:r>
      <w:r w:rsidR="00A67551">
        <w:rPr>
          <w:sz w:val="28"/>
        </w:rPr>
        <w:t>964</w:t>
      </w:r>
      <w:r w:rsidR="00707B9C">
        <w:rPr>
          <w:sz w:val="28"/>
        </w:rPr>
        <w:t>couverts, 40</w:t>
      </w:r>
      <w:r w:rsidR="00225FFC">
        <w:rPr>
          <w:sz w:val="28"/>
        </w:rPr>
        <w:t>.</w:t>
      </w:r>
      <w:r w:rsidR="00707B9C">
        <w:rPr>
          <w:sz w:val="28"/>
        </w:rPr>
        <w:t>497</w:t>
      </w:r>
      <w:r w:rsidR="00AD116D">
        <w:rPr>
          <w:sz w:val="28"/>
        </w:rPr>
        <w:t xml:space="preserve"> couverts ont été réalisés par l’entité EL-</w:t>
      </w:r>
      <w:proofErr w:type="spellStart"/>
      <w:r w:rsidR="00AD116D">
        <w:rPr>
          <w:sz w:val="28"/>
        </w:rPr>
        <w:t>Aurassi</w:t>
      </w:r>
      <w:proofErr w:type="spellEnd"/>
      <w:r w:rsidR="0061437C">
        <w:rPr>
          <w:sz w:val="28"/>
        </w:rPr>
        <w:t xml:space="preserve">, </w:t>
      </w:r>
      <w:r w:rsidR="00AD116D">
        <w:rPr>
          <w:sz w:val="28"/>
        </w:rPr>
        <w:t xml:space="preserve"> dont</w:t>
      </w:r>
      <w:r w:rsidR="00707B9C">
        <w:rPr>
          <w:sz w:val="28"/>
        </w:rPr>
        <w:t xml:space="preserve"> 13</w:t>
      </w:r>
      <w:r w:rsidR="00AD116D">
        <w:rPr>
          <w:sz w:val="28"/>
        </w:rPr>
        <w:t>.</w:t>
      </w:r>
      <w:r w:rsidR="00707B9C">
        <w:rPr>
          <w:sz w:val="28"/>
        </w:rPr>
        <w:t xml:space="preserve">868 </w:t>
      </w:r>
      <w:r w:rsidR="00AD116D">
        <w:rPr>
          <w:sz w:val="28"/>
        </w:rPr>
        <w:t xml:space="preserve"> couverts </w:t>
      </w:r>
      <w:r w:rsidR="00971C3D">
        <w:rPr>
          <w:sz w:val="28"/>
        </w:rPr>
        <w:t xml:space="preserve">résultent </w:t>
      </w:r>
      <w:r w:rsidR="004D32B7">
        <w:rPr>
          <w:sz w:val="28"/>
        </w:rPr>
        <w:t xml:space="preserve">des </w:t>
      </w:r>
      <w:r w:rsidR="00AD116D">
        <w:rPr>
          <w:sz w:val="28"/>
        </w:rPr>
        <w:t>banquets.</w:t>
      </w:r>
    </w:p>
    <w:p w:rsidR="00C53046" w:rsidRDefault="00C53046" w:rsidP="00775716">
      <w:pPr>
        <w:ind w:left="567"/>
        <w:jc w:val="both"/>
        <w:rPr>
          <w:sz w:val="28"/>
        </w:rPr>
      </w:pPr>
    </w:p>
    <w:p w:rsidR="008D6327" w:rsidRPr="00D47CDE" w:rsidRDefault="00971C3D" w:rsidP="00707B9C">
      <w:pPr>
        <w:ind w:left="567"/>
        <w:jc w:val="both"/>
        <w:rPr>
          <w:sz w:val="28"/>
        </w:rPr>
      </w:pPr>
      <w:r>
        <w:rPr>
          <w:sz w:val="28"/>
        </w:rPr>
        <w:t>Le t</w:t>
      </w:r>
      <w:r w:rsidR="008D6327">
        <w:rPr>
          <w:sz w:val="28"/>
        </w:rPr>
        <w:t>aux de fréquentation enregistré à l’échelle de la Chaine EL-</w:t>
      </w:r>
      <w:proofErr w:type="spellStart"/>
      <w:r w:rsidR="008D6327">
        <w:rPr>
          <w:sz w:val="28"/>
        </w:rPr>
        <w:t>Aurassi</w:t>
      </w:r>
      <w:proofErr w:type="spellEnd"/>
      <w:r w:rsidR="008D6327">
        <w:rPr>
          <w:sz w:val="28"/>
        </w:rPr>
        <w:t xml:space="preserve"> au titre du pr</w:t>
      </w:r>
      <w:r w:rsidR="00225FFC">
        <w:rPr>
          <w:sz w:val="28"/>
        </w:rPr>
        <w:t>emier semestre 2</w:t>
      </w:r>
      <w:r w:rsidR="00707B9C">
        <w:rPr>
          <w:sz w:val="28"/>
        </w:rPr>
        <w:t>022</w:t>
      </w:r>
      <w:r w:rsidR="00225FFC">
        <w:rPr>
          <w:sz w:val="28"/>
        </w:rPr>
        <w:t xml:space="preserve"> est de </w:t>
      </w:r>
      <w:r w:rsidR="00775716">
        <w:rPr>
          <w:sz w:val="28"/>
        </w:rPr>
        <w:t>17</w:t>
      </w:r>
      <w:r w:rsidR="004D32B7">
        <w:rPr>
          <w:sz w:val="28"/>
        </w:rPr>
        <w:t>,</w:t>
      </w:r>
      <w:r w:rsidR="00707B9C">
        <w:rPr>
          <w:sz w:val="28"/>
        </w:rPr>
        <w:t>18</w:t>
      </w:r>
      <w:r w:rsidR="00775716">
        <w:rPr>
          <w:sz w:val="28"/>
        </w:rPr>
        <w:t xml:space="preserve"> %, </w:t>
      </w:r>
      <w:r w:rsidR="008D6327">
        <w:rPr>
          <w:sz w:val="28"/>
        </w:rPr>
        <w:t>avec u</w:t>
      </w:r>
      <w:r w:rsidR="002346B0">
        <w:rPr>
          <w:sz w:val="28"/>
        </w:rPr>
        <w:t>n taux de fréquentation de</w:t>
      </w:r>
      <w:r w:rsidR="00707B9C">
        <w:rPr>
          <w:sz w:val="28"/>
        </w:rPr>
        <w:t xml:space="preserve"> 20</w:t>
      </w:r>
      <w:r w:rsidR="002346B0">
        <w:rPr>
          <w:sz w:val="28"/>
        </w:rPr>
        <w:t>,</w:t>
      </w:r>
      <w:r w:rsidR="00707B9C">
        <w:rPr>
          <w:sz w:val="28"/>
        </w:rPr>
        <w:t xml:space="preserve">26 </w:t>
      </w:r>
      <w:r w:rsidR="00C53046">
        <w:rPr>
          <w:sz w:val="28"/>
        </w:rPr>
        <w:t xml:space="preserve">% pour la seule </w:t>
      </w:r>
      <w:r w:rsidR="008D6327">
        <w:rPr>
          <w:sz w:val="28"/>
        </w:rPr>
        <w:t>entité EL-</w:t>
      </w:r>
      <w:proofErr w:type="spellStart"/>
      <w:r w:rsidR="008D6327">
        <w:rPr>
          <w:sz w:val="28"/>
        </w:rPr>
        <w:t>Aurassi</w:t>
      </w:r>
      <w:proofErr w:type="spellEnd"/>
      <w:r w:rsidR="008D6327">
        <w:rPr>
          <w:sz w:val="28"/>
        </w:rPr>
        <w:t>.</w:t>
      </w:r>
    </w:p>
    <w:p w:rsidR="00914370" w:rsidRDefault="00914370" w:rsidP="00775716">
      <w:pPr>
        <w:pStyle w:val="En-tte"/>
        <w:tabs>
          <w:tab w:val="left" w:pos="708"/>
        </w:tabs>
        <w:jc w:val="both"/>
        <w:rPr>
          <w:b/>
          <w:color w:val="0000FF"/>
          <w:sz w:val="32"/>
          <w:u w:val="single"/>
        </w:rPr>
      </w:pPr>
    </w:p>
    <w:p w:rsidR="00AE224E" w:rsidRDefault="000744D2">
      <w:pPr>
        <w:pStyle w:val="En-tte"/>
        <w:tabs>
          <w:tab w:val="left" w:pos="708"/>
        </w:tabs>
        <w:ind w:left="426"/>
        <w:jc w:val="both"/>
        <w:rPr>
          <w:b/>
          <w:color w:val="0000FF"/>
          <w:sz w:val="32"/>
          <w:u w:val="single"/>
        </w:rPr>
      </w:pPr>
      <w:r>
        <w:rPr>
          <w:b/>
          <w:color w:val="0000FF"/>
          <w:sz w:val="32"/>
          <w:u w:val="single"/>
        </w:rPr>
        <w:t>4</w:t>
      </w:r>
      <w:r w:rsidR="00AE224E">
        <w:rPr>
          <w:b/>
          <w:color w:val="0000FF"/>
          <w:sz w:val="32"/>
          <w:u w:val="single"/>
        </w:rPr>
        <w:t>-1-3-/ Divers</w:t>
      </w:r>
      <w:r w:rsidR="00AE224E">
        <w:rPr>
          <w:rFonts w:hint="eastAsia"/>
          <w:b/>
          <w:color w:val="0000FF"/>
          <w:sz w:val="32"/>
          <w:u w:val="single"/>
        </w:rPr>
        <w:t> </w:t>
      </w:r>
      <w:r w:rsidR="00AE224E">
        <w:rPr>
          <w:b/>
          <w:color w:val="0000FF"/>
          <w:sz w:val="32"/>
          <w:u w:val="single"/>
        </w:rPr>
        <w:t xml:space="preserve">: </w:t>
      </w:r>
    </w:p>
    <w:p w:rsidR="0062729E" w:rsidRDefault="0062729E" w:rsidP="00C71AB7">
      <w:pPr>
        <w:pStyle w:val="Retraitcorpsdetexte"/>
        <w:ind w:left="567"/>
      </w:pPr>
    </w:p>
    <w:p w:rsidR="00125835" w:rsidRDefault="00AE224E" w:rsidP="00707B9C">
      <w:pPr>
        <w:pStyle w:val="Retraitcorpsdetexte"/>
        <w:ind w:left="567"/>
      </w:pPr>
      <w:r>
        <w:t>Les activités</w:t>
      </w:r>
      <w:r w:rsidR="0006244F">
        <w:t xml:space="preserve"> annexes</w:t>
      </w:r>
      <w:r>
        <w:t xml:space="preserve"> ont connu </w:t>
      </w:r>
      <w:r w:rsidR="00646896">
        <w:t xml:space="preserve">par contre </w:t>
      </w:r>
      <w:r>
        <w:t>une</w:t>
      </w:r>
      <w:r w:rsidR="00041C34">
        <w:t>hausse,</w:t>
      </w:r>
      <w:r w:rsidR="0061437C">
        <w:t xml:space="preserve"> elle est </w:t>
      </w:r>
      <w:r>
        <w:t>de l’ordre de</w:t>
      </w:r>
      <w:r w:rsidR="00707B9C">
        <w:t>25,9</w:t>
      </w:r>
      <w:r w:rsidR="001F6DB5">
        <w:t>%</w:t>
      </w:r>
      <w:r>
        <w:t>, pour atteindre</w:t>
      </w:r>
      <w:r w:rsidR="00BE2BB2">
        <w:t xml:space="preserve"> un montant cumulé</w:t>
      </w:r>
      <w:r w:rsidR="0006244F">
        <w:t xml:space="preserve"> des divers de</w:t>
      </w:r>
      <w:r w:rsidR="00707B9C">
        <w:t xml:space="preserve"> 48,9 </w:t>
      </w:r>
      <w:r w:rsidR="0006244F">
        <w:t>Millions</w:t>
      </w:r>
      <w:r>
        <w:t xml:space="preserve"> de dinars, </w:t>
      </w:r>
      <w:r w:rsidR="00BF236B">
        <w:t xml:space="preserve"> provenant </w:t>
      </w:r>
      <w:r w:rsidR="00707B9C">
        <w:t xml:space="preserve">principalement </w:t>
      </w:r>
      <w:proofErr w:type="spellStart"/>
      <w:r w:rsidR="002B7BE1" w:rsidRPr="00CF4BF0">
        <w:t>de</w:t>
      </w:r>
      <w:r w:rsidR="0006244F">
        <w:t>l’activité</w:t>
      </w:r>
      <w:proofErr w:type="spellEnd"/>
      <w:r w:rsidR="0006244F">
        <w:t xml:space="preserve"> de </w:t>
      </w:r>
      <w:r w:rsidR="00BF236B">
        <w:t>l’unité EL</w:t>
      </w:r>
      <w:r w:rsidR="00B32559">
        <w:t>-</w:t>
      </w:r>
      <w:proofErr w:type="spellStart"/>
      <w:r w:rsidR="00B32559">
        <w:t>Aurassi</w:t>
      </w:r>
      <w:proofErr w:type="spellEnd"/>
      <w:r w:rsidR="00B32559">
        <w:t>.</w:t>
      </w:r>
    </w:p>
    <w:p w:rsidR="00C53046" w:rsidRDefault="00C53046" w:rsidP="00125835"/>
    <w:p w:rsidR="00C53046" w:rsidRDefault="00C53046" w:rsidP="00125835"/>
    <w:p w:rsidR="0012073A" w:rsidRDefault="0012073A" w:rsidP="00125835"/>
    <w:p w:rsidR="007F1FAE" w:rsidRDefault="007F1FAE" w:rsidP="00125835"/>
    <w:p w:rsidR="0012073A" w:rsidRPr="00125835" w:rsidRDefault="0012073A" w:rsidP="00125835"/>
    <w:p w:rsidR="00AE224E" w:rsidRDefault="00AE224E">
      <w:pPr>
        <w:pStyle w:val="Titre4"/>
        <w:ind w:left="426"/>
        <w:rPr>
          <w:color w:val="FF0000"/>
          <w:sz w:val="32"/>
        </w:rPr>
      </w:pPr>
      <w:r>
        <w:rPr>
          <w:color w:val="FF0000"/>
          <w:sz w:val="32"/>
        </w:rPr>
        <w:t>UTILISATION DES CAPACITES INSTALLEES</w:t>
      </w:r>
    </w:p>
    <w:p w:rsidR="005F2A14" w:rsidRPr="005F2A14" w:rsidRDefault="005F2A14" w:rsidP="005F2A14"/>
    <w:tbl>
      <w:tblPr>
        <w:tblW w:w="8789" w:type="dxa"/>
        <w:tblLayout w:type="fixed"/>
        <w:tblCellMar>
          <w:left w:w="54" w:type="dxa"/>
          <w:right w:w="54" w:type="dxa"/>
        </w:tblCellMar>
        <w:tblLook w:val="0000"/>
      </w:tblPr>
      <w:tblGrid>
        <w:gridCol w:w="1800"/>
        <w:gridCol w:w="1461"/>
        <w:gridCol w:w="1417"/>
        <w:gridCol w:w="1843"/>
        <w:gridCol w:w="1270"/>
        <w:gridCol w:w="6"/>
        <w:gridCol w:w="992"/>
      </w:tblGrid>
      <w:tr w:rsidR="00F13718" w:rsidTr="00261131">
        <w:trPr>
          <w:cantSplit/>
          <w:trHeight w:val="435"/>
        </w:trPr>
        <w:tc>
          <w:tcPr>
            <w:tcW w:w="1800" w:type="dxa"/>
            <w:vMerge w:val="restart"/>
            <w:tcBorders>
              <w:top w:val="single" w:sz="12" w:space="0" w:color="auto"/>
              <w:left w:val="single" w:sz="12" w:space="0" w:color="auto"/>
              <w:right w:val="single" w:sz="12" w:space="0" w:color="auto"/>
            </w:tcBorders>
            <w:shd w:val="clear" w:color="auto" w:fill="00FFFF"/>
            <w:vAlign w:val="center"/>
          </w:tcPr>
          <w:p w:rsidR="00F13718" w:rsidRDefault="00F13718">
            <w:pPr>
              <w:widowControl w:val="0"/>
              <w:autoSpaceDE w:val="0"/>
              <w:autoSpaceDN w:val="0"/>
              <w:adjustRightInd w:val="0"/>
              <w:jc w:val="center"/>
              <w:rPr>
                <w:b/>
                <w:sz w:val="18"/>
              </w:rPr>
            </w:pPr>
            <w:r>
              <w:rPr>
                <w:b/>
                <w:sz w:val="18"/>
              </w:rPr>
              <w:t>RUBRIQUES</w:t>
            </w:r>
          </w:p>
        </w:tc>
        <w:tc>
          <w:tcPr>
            <w:tcW w:w="4721" w:type="dxa"/>
            <w:gridSpan w:val="3"/>
            <w:tcBorders>
              <w:top w:val="single" w:sz="12" w:space="0" w:color="auto"/>
              <w:left w:val="single" w:sz="12" w:space="0" w:color="auto"/>
              <w:bottom w:val="single" w:sz="12" w:space="0" w:color="auto"/>
              <w:right w:val="nil"/>
            </w:tcBorders>
            <w:shd w:val="clear" w:color="auto" w:fill="00FFFF"/>
            <w:vAlign w:val="center"/>
          </w:tcPr>
          <w:p w:rsidR="00F13718" w:rsidRDefault="00F13718" w:rsidP="00FE1994">
            <w:pPr>
              <w:widowControl w:val="0"/>
              <w:autoSpaceDE w:val="0"/>
              <w:autoSpaceDN w:val="0"/>
              <w:adjustRightInd w:val="0"/>
              <w:jc w:val="center"/>
              <w:rPr>
                <w:b/>
                <w:sz w:val="18"/>
              </w:rPr>
            </w:pPr>
            <w:r>
              <w:rPr>
                <w:b/>
                <w:sz w:val="18"/>
              </w:rPr>
              <w:t>REALISATIONS</w:t>
            </w:r>
          </w:p>
        </w:tc>
        <w:tc>
          <w:tcPr>
            <w:tcW w:w="2268" w:type="dxa"/>
            <w:gridSpan w:val="3"/>
            <w:tcBorders>
              <w:top w:val="single" w:sz="12" w:space="0" w:color="auto"/>
              <w:left w:val="single" w:sz="12" w:space="0" w:color="auto"/>
              <w:bottom w:val="single" w:sz="4" w:space="0" w:color="auto"/>
              <w:right w:val="single" w:sz="12" w:space="0" w:color="auto"/>
            </w:tcBorders>
            <w:shd w:val="clear" w:color="auto" w:fill="00FFFF"/>
            <w:vAlign w:val="center"/>
          </w:tcPr>
          <w:p w:rsidR="00F13718" w:rsidRDefault="00F13718">
            <w:pPr>
              <w:widowControl w:val="0"/>
              <w:autoSpaceDE w:val="0"/>
              <w:autoSpaceDN w:val="0"/>
              <w:adjustRightInd w:val="0"/>
              <w:jc w:val="center"/>
              <w:rPr>
                <w:b/>
                <w:sz w:val="18"/>
              </w:rPr>
            </w:pPr>
            <w:r>
              <w:rPr>
                <w:b/>
                <w:sz w:val="18"/>
              </w:rPr>
              <w:t xml:space="preserve">PREVISIONS </w:t>
            </w:r>
          </w:p>
          <w:p w:rsidR="00F13718" w:rsidRDefault="00F13718" w:rsidP="00824659">
            <w:pPr>
              <w:widowControl w:val="0"/>
              <w:autoSpaceDE w:val="0"/>
              <w:autoSpaceDN w:val="0"/>
              <w:adjustRightInd w:val="0"/>
              <w:jc w:val="center"/>
              <w:rPr>
                <w:b/>
                <w:sz w:val="18"/>
              </w:rPr>
            </w:pPr>
          </w:p>
        </w:tc>
      </w:tr>
      <w:tr w:rsidR="00F13718" w:rsidTr="00261131">
        <w:trPr>
          <w:cantSplit/>
          <w:trHeight w:val="420"/>
        </w:trPr>
        <w:tc>
          <w:tcPr>
            <w:tcW w:w="1800" w:type="dxa"/>
            <w:vMerge/>
            <w:tcBorders>
              <w:left w:val="single" w:sz="12" w:space="0" w:color="auto"/>
              <w:bottom w:val="single" w:sz="12" w:space="0" w:color="auto"/>
              <w:right w:val="single" w:sz="12" w:space="0" w:color="auto"/>
            </w:tcBorders>
            <w:vAlign w:val="center"/>
          </w:tcPr>
          <w:p w:rsidR="00F13718" w:rsidRDefault="00F13718">
            <w:pPr>
              <w:widowControl w:val="0"/>
              <w:autoSpaceDE w:val="0"/>
              <w:autoSpaceDN w:val="0"/>
              <w:adjustRightInd w:val="0"/>
              <w:jc w:val="center"/>
              <w:rPr>
                <w:b/>
                <w:sz w:val="18"/>
              </w:rPr>
            </w:pPr>
          </w:p>
        </w:tc>
        <w:tc>
          <w:tcPr>
            <w:tcW w:w="1461"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Default="00F13718" w:rsidP="004208E2">
            <w:pPr>
              <w:widowControl w:val="0"/>
              <w:autoSpaceDE w:val="0"/>
              <w:autoSpaceDN w:val="0"/>
              <w:adjustRightInd w:val="0"/>
              <w:jc w:val="center"/>
              <w:rPr>
                <w:b/>
                <w:sz w:val="18"/>
              </w:rPr>
            </w:pPr>
            <w:r>
              <w:rPr>
                <w:b/>
                <w:sz w:val="18"/>
              </w:rPr>
              <w:t>1er Semestre 20</w:t>
            </w:r>
            <w:r w:rsidR="005061A6">
              <w:rPr>
                <w:b/>
                <w:sz w:val="18"/>
              </w:rPr>
              <w:t>2</w:t>
            </w:r>
            <w:r w:rsidR="00E9180A">
              <w:rPr>
                <w:b/>
                <w:sz w:val="18"/>
              </w:rPr>
              <w:t>1</w:t>
            </w:r>
          </w:p>
        </w:tc>
        <w:tc>
          <w:tcPr>
            <w:tcW w:w="1417"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Default="00F13718" w:rsidP="00AC7ED4">
            <w:pPr>
              <w:widowControl w:val="0"/>
              <w:autoSpaceDE w:val="0"/>
              <w:autoSpaceDN w:val="0"/>
              <w:adjustRightInd w:val="0"/>
              <w:jc w:val="center"/>
              <w:rPr>
                <w:b/>
                <w:sz w:val="18"/>
              </w:rPr>
            </w:pPr>
            <w:r>
              <w:rPr>
                <w:b/>
                <w:sz w:val="18"/>
              </w:rPr>
              <w:t>1er Semestre 20</w:t>
            </w:r>
            <w:r w:rsidR="006418C0">
              <w:rPr>
                <w:b/>
                <w:sz w:val="18"/>
              </w:rPr>
              <w:t>2</w:t>
            </w:r>
            <w:r w:rsidR="00E9180A">
              <w:rPr>
                <w:b/>
                <w:sz w:val="18"/>
              </w:rPr>
              <w:t>2</w:t>
            </w:r>
          </w:p>
        </w:tc>
        <w:tc>
          <w:tcPr>
            <w:tcW w:w="1843"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Default="00F13718" w:rsidP="00AC7ED4">
            <w:pPr>
              <w:widowControl w:val="0"/>
              <w:autoSpaceDE w:val="0"/>
              <w:autoSpaceDN w:val="0"/>
              <w:adjustRightInd w:val="0"/>
              <w:jc w:val="center"/>
              <w:rPr>
                <w:b/>
                <w:sz w:val="18"/>
              </w:rPr>
            </w:pPr>
            <w:r>
              <w:rPr>
                <w:b/>
                <w:sz w:val="18"/>
              </w:rPr>
              <w:t>Evolution  en %</w:t>
            </w:r>
          </w:p>
        </w:tc>
        <w:tc>
          <w:tcPr>
            <w:tcW w:w="1270"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Default="00F13718" w:rsidP="00AC7ED4">
            <w:pPr>
              <w:widowControl w:val="0"/>
              <w:autoSpaceDE w:val="0"/>
              <w:autoSpaceDN w:val="0"/>
              <w:adjustRightInd w:val="0"/>
              <w:jc w:val="center"/>
              <w:rPr>
                <w:b/>
                <w:sz w:val="18"/>
              </w:rPr>
            </w:pPr>
            <w:r>
              <w:rPr>
                <w:b/>
                <w:sz w:val="18"/>
              </w:rPr>
              <w:t>1er Semestre 20</w:t>
            </w:r>
            <w:r w:rsidR="006418C0">
              <w:rPr>
                <w:b/>
                <w:sz w:val="18"/>
              </w:rPr>
              <w:t>2</w:t>
            </w:r>
            <w:r w:rsidR="00E9180A">
              <w:rPr>
                <w:b/>
                <w:sz w:val="18"/>
              </w:rPr>
              <w:t>2</w:t>
            </w:r>
          </w:p>
        </w:tc>
        <w:tc>
          <w:tcPr>
            <w:tcW w:w="998" w:type="dxa"/>
            <w:gridSpan w:val="2"/>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Default="00956CC1" w:rsidP="00824659">
            <w:pPr>
              <w:widowControl w:val="0"/>
              <w:autoSpaceDE w:val="0"/>
              <w:autoSpaceDN w:val="0"/>
              <w:adjustRightInd w:val="0"/>
              <w:jc w:val="center"/>
              <w:rPr>
                <w:b/>
                <w:sz w:val="18"/>
              </w:rPr>
            </w:pPr>
            <w:r>
              <w:rPr>
                <w:b/>
                <w:sz w:val="18"/>
              </w:rPr>
              <w:t>Ecarts en %</w:t>
            </w:r>
          </w:p>
        </w:tc>
      </w:tr>
      <w:tr w:rsidR="00F13718" w:rsidTr="00261131">
        <w:trPr>
          <w:trHeight w:val="315"/>
        </w:trPr>
        <w:tc>
          <w:tcPr>
            <w:tcW w:w="1800" w:type="dxa"/>
            <w:tcBorders>
              <w:top w:val="single" w:sz="12" w:space="0" w:color="auto"/>
              <w:left w:val="single" w:sz="12" w:space="0" w:color="auto"/>
              <w:bottom w:val="single" w:sz="12" w:space="0" w:color="auto"/>
              <w:right w:val="single" w:sz="12" w:space="0" w:color="auto"/>
            </w:tcBorders>
            <w:vAlign w:val="center"/>
          </w:tcPr>
          <w:p w:rsidR="00F13718" w:rsidRDefault="00F13718">
            <w:pPr>
              <w:widowControl w:val="0"/>
              <w:autoSpaceDE w:val="0"/>
              <w:autoSpaceDN w:val="0"/>
              <w:adjustRightInd w:val="0"/>
              <w:rPr>
                <w:sz w:val="18"/>
              </w:rPr>
            </w:pPr>
            <w:r>
              <w:rPr>
                <w:sz w:val="18"/>
              </w:rPr>
              <w:t>Nombre de chambres louées</w:t>
            </w:r>
          </w:p>
        </w:tc>
        <w:tc>
          <w:tcPr>
            <w:tcW w:w="1461" w:type="dxa"/>
            <w:tcBorders>
              <w:top w:val="single" w:sz="12" w:space="0" w:color="auto"/>
              <w:left w:val="single" w:sz="12" w:space="0" w:color="auto"/>
              <w:bottom w:val="single" w:sz="12" w:space="0" w:color="auto"/>
              <w:right w:val="single" w:sz="12" w:space="0" w:color="auto"/>
            </w:tcBorders>
            <w:vAlign w:val="center"/>
          </w:tcPr>
          <w:p w:rsidR="00F13718" w:rsidRPr="00B817FA" w:rsidRDefault="00E9180A" w:rsidP="00E9180A">
            <w:pPr>
              <w:widowControl w:val="0"/>
              <w:autoSpaceDE w:val="0"/>
              <w:autoSpaceDN w:val="0"/>
              <w:adjustRightInd w:val="0"/>
              <w:jc w:val="center"/>
              <w:rPr>
                <w:b/>
                <w:sz w:val="18"/>
              </w:rPr>
            </w:pPr>
            <w:r>
              <w:rPr>
                <w:b/>
                <w:sz w:val="18"/>
              </w:rPr>
              <w:t>19</w:t>
            </w:r>
            <w:r w:rsidR="00F11A66">
              <w:rPr>
                <w:b/>
                <w:sz w:val="18"/>
              </w:rPr>
              <w:t>.</w:t>
            </w:r>
            <w:r>
              <w:rPr>
                <w:b/>
                <w:sz w:val="18"/>
              </w:rPr>
              <w:t>356</w:t>
            </w:r>
          </w:p>
        </w:tc>
        <w:tc>
          <w:tcPr>
            <w:tcW w:w="1417" w:type="dxa"/>
            <w:tcBorders>
              <w:top w:val="single" w:sz="12" w:space="0" w:color="auto"/>
              <w:left w:val="single" w:sz="12" w:space="0" w:color="auto"/>
              <w:bottom w:val="single" w:sz="12" w:space="0" w:color="auto"/>
              <w:right w:val="single" w:sz="12" w:space="0" w:color="auto"/>
            </w:tcBorders>
            <w:vAlign w:val="center"/>
          </w:tcPr>
          <w:p w:rsidR="00F13718" w:rsidRPr="00B817FA" w:rsidRDefault="0012073A" w:rsidP="00E0525A">
            <w:pPr>
              <w:widowControl w:val="0"/>
              <w:autoSpaceDE w:val="0"/>
              <w:autoSpaceDN w:val="0"/>
              <w:adjustRightInd w:val="0"/>
              <w:rPr>
                <w:b/>
                <w:sz w:val="18"/>
              </w:rPr>
            </w:pPr>
            <w:r>
              <w:rPr>
                <w:b/>
                <w:sz w:val="18"/>
              </w:rPr>
              <w:t xml:space="preserve">          23.455</w:t>
            </w:r>
          </w:p>
        </w:tc>
        <w:tc>
          <w:tcPr>
            <w:tcW w:w="1843" w:type="dxa"/>
            <w:tcBorders>
              <w:top w:val="single" w:sz="12" w:space="0" w:color="auto"/>
              <w:left w:val="single" w:sz="12" w:space="0" w:color="auto"/>
              <w:bottom w:val="single" w:sz="12" w:space="0" w:color="auto"/>
              <w:right w:val="single" w:sz="12" w:space="0" w:color="auto"/>
            </w:tcBorders>
            <w:vAlign w:val="center"/>
          </w:tcPr>
          <w:p w:rsidR="00F13718" w:rsidRPr="00B817FA" w:rsidRDefault="00707B9C" w:rsidP="00E0525A">
            <w:pPr>
              <w:widowControl w:val="0"/>
              <w:autoSpaceDE w:val="0"/>
              <w:autoSpaceDN w:val="0"/>
              <w:adjustRightInd w:val="0"/>
              <w:rPr>
                <w:b/>
                <w:sz w:val="18"/>
              </w:rPr>
            </w:pPr>
            <w:r>
              <w:rPr>
                <w:b/>
                <w:sz w:val="18"/>
              </w:rPr>
              <w:t xml:space="preserve">            +21,2</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5061A6">
            <w:pPr>
              <w:widowControl w:val="0"/>
              <w:autoSpaceDE w:val="0"/>
              <w:autoSpaceDN w:val="0"/>
              <w:adjustRightInd w:val="0"/>
              <w:jc w:val="center"/>
              <w:rPr>
                <w:b/>
                <w:sz w:val="18"/>
              </w:rPr>
            </w:pPr>
            <w:r>
              <w:rPr>
                <w:b/>
                <w:sz w:val="18"/>
              </w:rPr>
              <w:t>26.646</w:t>
            </w:r>
          </w:p>
        </w:tc>
        <w:tc>
          <w:tcPr>
            <w:tcW w:w="992" w:type="dxa"/>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E0525A">
            <w:pPr>
              <w:widowControl w:val="0"/>
              <w:autoSpaceDE w:val="0"/>
              <w:autoSpaceDN w:val="0"/>
              <w:adjustRightInd w:val="0"/>
              <w:rPr>
                <w:b/>
                <w:sz w:val="18"/>
              </w:rPr>
            </w:pPr>
            <w:r>
              <w:rPr>
                <w:b/>
                <w:sz w:val="18"/>
              </w:rPr>
              <w:t xml:space="preserve">    -12,0</w:t>
            </w:r>
          </w:p>
        </w:tc>
      </w:tr>
      <w:tr w:rsidR="00F13718" w:rsidTr="00261131">
        <w:trPr>
          <w:trHeight w:val="510"/>
        </w:trPr>
        <w:tc>
          <w:tcPr>
            <w:tcW w:w="1800"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Default="00F13718">
            <w:pPr>
              <w:widowControl w:val="0"/>
              <w:autoSpaceDE w:val="0"/>
              <w:autoSpaceDN w:val="0"/>
              <w:adjustRightInd w:val="0"/>
              <w:rPr>
                <w:b/>
                <w:sz w:val="18"/>
              </w:rPr>
            </w:pPr>
            <w:r>
              <w:rPr>
                <w:b/>
                <w:sz w:val="18"/>
              </w:rPr>
              <w:t>Taux d'occupation</w:t>
            </w:r>
          </w:p>
        </w:tc>
        <w:tc>
          <w:tcPr>
            <w:tcW w:w="1461"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E9180A" w:rsidP="00E9180A">
            <w:pPr>
              <w:widowControl w:val="0"/>
              <w:autoSpaceDE w:val="0"/>
              <w:autoSpaceDN w:val="0"/>
              <w:adjustRightInd w:val="0"/>
              <w:jc w:val="center"/>
              <w:rPr>
                <w:b/>
                <w:sz w:val="18"/>
              </w:rPr>
            </w:pPr>
            <w:r>
              <w:rPr>
                <w:b/>
                <w:sz w:val="18"/>
              </w:rPr>
              <w:t>16</w:t>
            </w:r>
            <w:r w:rsidR="00F11A66">
              <w:rPr>
                <w:b/>
                <w:sz w:val="18"/>
              </w:rPr>
              <w:t>,</w:t>
            </w:r>
            <w:r>
              <w:rPr>
                <w:b/>
                <w:sz w:val="18"/>
              </w:rPr>
              <w:t xml:space="preserve">34 </w:t>
            </w:r>
            <w:r w:rsidR="00F11A66">
              <w:rPr>
                <w:b/>
                <w:sz w:val="18"/>
              </w:rPr>
              <w:t>%</w:t>
            </w:r>
          </w:p>
        </w:tc>
        <w:tc>
          <w:tcPr>
            <w:tcW w:w="1417"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12073A" w:rsidP="00E0525A">
            <w:pPr>
              <w:widowControl w:val="0"/>
              <w:autoSpaceDE w:val="0"/>
              <w:autoSpaceDN w:val="0"/>
              <w:adjustRightInd w:val="0"/>
              <w:rPr>
                <w:b/>
                <w:sz w:val="18"/>
              </w:rPr>
            </w:pPr>
            <w:r>
              <w:rPr>
                <w:b/>
                <w:sz w:val="18"/>
              </w:rPr>
              <w:t xml:space="preserve">        19,93%</w:t>
            </w:r>
          </w:p>
        </w:tc>
        <w:tc>
          <w:tcPr>
            <w:tcW w:w="1843"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707B9C" w:rsidP="00CB7F80">
            <w:pPr>
              <w:widowControl w:val="0"/>
              <w:autoSpaceDE w:val="0"/>
              <w:autoSpaceDN w:val="0"/>
              <w:adjustRightInd w:val="0"/>
              <w:rPr>
                <w:b/>
                <w:sz w:val="18"/>
              </w:rPr>
            </w:pPr>
            <w:r>
              <w:rPr>
                <w:b/>
                <w:sz w:val="18"/>
              </w:rPr>
              <w:t xml:space="preserve">           +22,0</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CA5F05" w:rsidP="00FF30A7">
            <w:pPr>
              <w:widowControl w:val="0"/>
              <w:autoSpaceDE w:val="0"/>
              <w:autoSpaceDN w:val="0"/>
              <w:adjustRightInd w:val="0"/>
              <w:rPr>
                <w:b/>
                <w:sz w:val="18"/>
              </w:rPr>
            </w:pPr>
            <w:r>
              <w:rPr>
                <w:b/>
                <w:sz w:val="18"/>
              </w:rPr>
              <w:t xml:space="preserve">       18,71%</w:t>
            </w:r>
          </w:p>
        </w:tc>
        <w:tc>
          <w:tcPr>
            <w:tcW w:w="992"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CA5F05" w:rsidP="00E0525A">
            <w:pPr>
              <w:widowControl w:val="0"/>
              <w:autoSpaceDE w:val="0"/>
              <w:autoSpaceDN w:val="0"/>
              <w:adjustRightInd w:val="0"/>
              <w:rPr>
                <w:b/>
                <w:sz w:val="18"/>
              </w:rPr>
            </w:pPr>
            <w:r>
              <w:rPr>
                <w:b/>
                <w:sz w:val="18"/>
              </w:rPr>
              <w:t xml:space="preserve">      +6,5</w:t>
            </w:r>
          </w:p>
        </w:tc>
      </w:tr>
      <w:tr w:rsidR="00F13718" w:rsidTr="00261131">
        <w:trPr>
          <w:trHeight w:val="480"/>
        </w:trPr>
        <w:tc>
          <w:tcPr>
            <w:tcW w:w="1800" w:type="dxa"/>
            <w:tcBorders>
              <w:top w:val="single" w:sz="12" w:space="0" w:color="auto"/>
              <w:left w:val="single" w:sz="12" w:space="0" w:color="auto"/>
              <w:bottom w:val="single" w:sz="12" w:space="0" w:color="auto"/>
              <w:right w:val="single" w:sz="12" w:space="0" w:color="auto"/>
            </w:tcBorders>
            <w:vAlign w:val="center"/>
          </w:tcPr>
          <w:p w:rsidR="00F13718" w:rsidRDefault="00F13718">
            <w:pPr>
              <w:widowControl w:val="0"/>
              <w:autoSpaceDE w:val="0"/>
              <w:autoSpaceDN w:val="0"/>
              <w:adjustRightInd w:val="0"/>
              <w:rPr>
                <w:sz w:val="18"/>
              </w:rPr>
            </w:pPr>
            <w:r>
              <w:rPr>
                <w:sz w:val="18"/>
              </w:rPr>
              <w:t>Nuitées réalisées</w:t>
            </w:r>
          </w:p>
        </w:tc>
        <w:tc>
          <w:tcPr>
            <w:tcW w:w="1461" w:type="dxa"/>
            <w:tcBorders>
              <w:top w:val="single" w:sz="12" w:space="0" w:color="auto"/>
              <w:left w:val="single" w:sz="12" w:space="0" w:color="auto"/>
              <w:bottom w:val="single" w:sz="12" w:space="0" w:color="auto"/>
              <w:right w:val="single" w:sz="12" w:space="0" w:color="auto"/>
            </w:tcBorders>
            <w:vAlign w:val="center"/>
          </w:tcPr>
          <w:p w:rsidR="00F13718" w:rsidRPr="00B817FA" w:rsidRDefault="00E9180A" w:rsidP="00E9180A">
            <w:pPr>
              <w:widowControl w:val="0"/>
              <w:autoSpaceDE w:val="0"/>
              <w:autoSpaceDN w:val="0"/>
              <w:adjustRightInd w:val="0"/>
              <w:jc w:val="center"/>
              <w:rPr>
                <w:b/>
                <w:sz w:val="18"/>
              </w:rPr>
            </w:pPr>
            <w:r>
              <w:rPr>
                <w:b/>
                <w:sz w:val="18"/>
              </w:rPr>
              <w:t>23</w:t>
            </w:r>
            <w:r w:rsidR="00F11A66">
              <w:rPr>
                <w:b/>
                <w:sz w:val="18"/>
              </w:rPr>
              <w:t>.</w:t>
            </w:r>
            <w:r>
              <w:rPr>
                <w:b/>
                <w:sz w:val="18"/>
              </w:rPr>
              <w:t>906</w:t>
            </w:r>
          </w:p>
        </w:tc>
        <w:tc>
          <w:tcPr>
            <w:tcW w:w="1417" w:type="dxa"/>
            <w:tcBorders>
              <w:top w:val="single" w:sz="12" w:space="0" w:color="auto"/>
              <w:left w:val="single" w:sz="12" w:space="0" w:color="auto"/>
              <w:bottom w:val="single" w:sz="12" w:space="0" w:color="auto"/>
              <w:right w:val="single" w:sz="12" w:space="0" w:color="auto"/>
            </w:tcBorders>
            <w:vAlign w:val="center"/>
          </w:tcPr>
          <w:p w:rsidR="00F13718" w:rsidRPr="00B817FA" w:rsidRDefault="0012073A" w:rsidP="00716809">
            <w:pPr>
              <w:widowControl w:val="0"/>
              <w:autoSpaceDE w:val="0"/>
              <w:autoSpaceDN w:val="0"/>
              <w:adjustRightInd w:val="0"/>
              <w:rPr>
                <w:b/>
                <w:sz w:val="18"/>
              </w:rPr>
            </w:pPr>
            <w:r>
              <w:rPr>
                <w:b/>
                <w:sz w:val="18"/>
              </w:rPr>
              <w:t>28.116</w:t>
            </w:r>
          </w:p>
        </w:tc>
        <w:tc>
          <w:tcPr>
            <w:tcW w:w="1843" w:type="dxa"/>
            <w:tcBorders>
              <w:top w:val="single" w:sz="12" w:space="0" w:color="auto"/>
              <w:left w:val="single" w:sz="12" w:space="0" w:color="auto"/>
              <w:bottom w:val="single" w:sz="12" w:space="0" w:color="auto"/>
              <w:right w:val="single" w:sz="12" w:space="0" w:color="auto"/>
            </w:tcBorders>
            <w:vAlign w:val="center"/>
          </w:tcPr>
          <w:p w:rsidR="00F13718" w:rsidRPr="00B817FA" w:rsidRDefault="00707B9C" w:rsidP="00CB7F80">
            <w:pPr>
              <w:widowControl w:val="0"/>
              <w:autoSpaceDE w:val="0"/>
              <w:autoSpaceDN w:val="0"/>
              <w:adjustRightInd w:val="0"/>
              <w:rPr>
                <w:b/>
                <w:sz w:val="18"/>
              </w:rPr>
            </w:pPr>
            <w:r>
              <w:rPr>
                <w:b/>
                <w:sz w:val="18"/>
              </w:rPr>
              <w:t xml:space="preserve">           +17,6</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E0525A">
            <w:pPr>
              <w:widowControl w:val="0"/>
              <w:autoSpaceDE w:val="0"/>
              <w:autoSpaceDN w:val="0"/>
              <w:adjustRightInd w:val="0"/>
              <w:rPr>
                <w:b/>
                <w:sz w:val="18"/>
              </w:rPr>
            </w:pPr>
            <w:r>
              <w:rPr>
                <w:b/>
                <w:sz w:val="18"/>
              </w:rPr>
              <w:t xml:space="preserve">       31.572</w:t>
            </w:r>
          </w:p>
        </w:tc>
        <w:tc>
          <w:tcPr>
            <w:tcW w:w="992" w:type="dxa"/>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E0525A">
            <w:pPr>
              <w:widowControl w:val="0"/>
              <w:autoSpaceDE w:val="0"/>
              <w:autoSpaceDN w:val="0"/>
              <w:adjustRightInd w:val="0"/>
              <w:rPr>
                <w:b/>
                <w:sz w:val="18"/>
              </w:rPr>
            </w:pPr>
            <w:r>
              <w:rPr>
                <w:b/>
                <w:sz w:val="18"/>
              </w:rPr>
              <w:t xml:space="preserve">    -10,9</w:t>
            </w:r>
          </w:p>
        </w:tc>
      </w:tr>
      <w:tr w:rsidR="00F13718" w:rsidTr="00261131">
        <w:trPr>
          <w:trHeight w:val="495"/>
        </w:trPr>
        <w:tc>
          <w:tcPr>
            <w:tcW w:w="1800" w:type="dxa"/>
            <w:tcBorders>
              <w:top w:val="single" w:sz="12" w:space="0" w:color="auto"/>
              <w:left w:val="single" w:sz="12" w:space="0" w:color="auto"/>
              <w:bottom w:val="single" w:sz="12" w:space="0" w:color="auto"/>
              <w:right w:val="single" w:sz="12" w:space="0" w:color="auto"/>
            </w:tcBorders>
            <w:vAlign w:val="center"/>
          </w:tcPr>
          <w:p w:rsidR="00F13718" w:rsidRDefault="00F13718">
            <w:pPr>
              <w:widowControl w:val="0"/>
              <w:autoSpaceDE w:val="0"/>
              <w:autoSpaceDN w:val="0"/>
              <w:adjustRightInd w:val="0"/>
              <w:rPr>
                <w:sz w:val="18"/>
              </w:rPr>
            </w:pPr>
            <w:r>
              <w:rPr>
                <w:sz w:val="18"/>
              </w:rPr>
              <w:t>Nuitées nationaux</w:t>
            </w:r>
          </w:p>
        </w:tc>
        <w:tc>
          <w:tcPr>
            <w:tcW w:w="1461" w:type="dxa"/>
            <w:tcBorders>
              <w:top w:val="single" w:sz="12" w:space="0" w:color="auto"/>
              <w:left w:val="single" w:sz="12" w:space="0" w:color="auto"/>
              <w:bottom w:val="single" w:sz="12" w:space="0" w:color="auto"/>
              <w:right w:val="single" w:sz="12" w:space="0" w:color="auto"/>
            </w:tcBorders>
            <w:vAlign w:val="center"/>
          </w:tcPr>
          <w:p w:rsidR="00F13718" w:rsidRPr="00B817FA" w:rsidRDefault="00E9180A" w:rsidP="00E9180A">
            <w:pPr>
              <w:widowControl w:val="0"/>
              <w:autoSpaceDE w:val="0"/>
              <w:autoSpaceDN w:val="0"/>
              <w:adjustRightInd w:val="0"/>
              <w:jc w:val="center"/>
              <w:rPr>
                <w:b/>
                <w:sz w:val="18"/>
              </w:rPr>
            </w:pPr>
            <w:r>
              <w:rPr>
                <w:b/>
                <w:sz w:val="18"/>
              </w:rPr>
              <w:t>1</w:t>
            </w:r>
            <w:r w:rsidR="005061A6">
              <w:rPr>
                <w:b/>
                <w:sz w:val="18"/>
              </w:rPr>
              <w:t>7</w:t>
            </w:r>
            <w:r w:rsidR="00F11A66">
              <w:rPr>
                <w:b/>
                <w:sz w:val="18"/>
              </w:rPr>
              <w:t>.</w:t>
            </w:r>
            <w:r>
              <w:rPr>
                <w:b/>
                <w:sz w:val="18"/>
              </w:rPr>
              <w:t>841</w:t>
            </w:r>
          </w:p>
        </w:tc>
        <w:tc>
          <w:tcPr>
            <w:tcW w:w="1417" w:type="dxa"/>
            <w:tcBorders>
              <w:top w:val="single" w:sz="12" w:space="0" w:color="auto"/>
              <w:left w:val="single" w:sz="12" w:space="0" w:color="auto"/>
              <w:bottom w:val="single" w:sz="12" w:space="0" w:color="auto"/>
              <w:right w:val="single" w:sz="12" w:space="0" w:color="auto"/>
            </w:tcBorders>
            <w:vAlign w:val="center"/>
          </w:tcPr>
          <w:p w:rsidR="00F13718" w:rsidRPr="00B817FA" w:rsidRDefault="0012073A" w:rsidP="00E0525A">
            <w:pPr>
              <w:widowControl w:val="0"/>
              <w:autoSpaceDE w:val="0"/>
              <w:autoSpaceDN w:val="0"/>
              <w:adjustRightInd w:val="0"/>
              <w:rPr>
                <w:b/>
                <w:sz w:val="18"/>
              </w:rPr>
            </w:pPr>
            <w:r>
              <w:rPr>
                <w:b/>
                <w:sz w:val="18"/>
              </w:rPr>
              <w:t xml:space="preserve">       19.851</w:t>
            </w:r>
          </w:p>
        </w:tc>
        <w:tc>
          <w:tcPr>
            <w:tcW w:w="1843" w:type="dxa"/>
            <w:tcBorders>
              <w:top w:val="single" w:sz="12" w:space="0" w:color="auto"/>
              <w:left w:val="single" w:sz="12" w:space="0" w:color="auto"/>
              <w:bottom w:val="single" w:sz="12" w:space="0" w:color="auto"/>
              <w:right w:val="single" w:sz="12" w:space="0" w:color="auto"/>
            </w:tcBorders>
            <w:vAlign w:val="center"/>
          </w:tcPr>
          <w:p w:rsidR="00F13718" w:rsidRPr="00B817FA" w:rsidRDefault="00707B9C" w:rsidP="005622F7">
            <w:pPr>
              <w:widowControl w:val="0"/>
              <w:autoSpaceDE w:val="0"/>
              <w:autoSpaceDN w:val="0"/>
              <w:adjustRightInd w:val="0"/>
              <w:rPr>
                <w:b/>
                <w:sz w:val="18"/>
              </w:rPr>
            </w:pPr>
            <w:r>
              <w:rPr>
                <w:b/>
                <w:sz w:val="18"/>
              </w:rPr>
              <w:t xml:space="preserve">           +11,3</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FF30A7">
            <w:pPr>
              <w:widowControl w:val="0"/>
              <w:autoSpaceDE w:val="0"/>
              <w:autoSpaceDN w:val="0"/>
              <w:adjustRightInd w:val="0"/>
              <w:rPr>
                <w:b/>
                <w:sz w:val="18"/>
              </w:rPr>
            </w:pPr>
            <w:r>
              <w:rPr>
                <w:b/>
                <w:sz w:val="18"/>
              </w:rPr>
              <w:t xml:space="preserve">       27.229</w:t>
            </w:r>
          </w:p>
        </w:tc>
        <w:tc>
          <w:tcPr>
            <w:tcW w:w="992" w:type="dxa"/>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FF30A7">
            <w:pPr>
              <w:widowControl w:val="0"/>
              <w:autoSpaceDE w:val="0"/>
              <w:autoSpaceDN w:val="0"/>
              <w:adjustRightInd w:val="0"/>
              <w:rPr>
                <w:b/>
                <w:sz w:val="18"/>
              </w:rPr>
            </w:pPr>
            <w:r>
              <w:rPr>
                <w:b/>
                <w:sz w:val="18"/>
              </w:rPr>
              <w:t xml:space="preserve">    -27,1</w:t>
            </w:r>
          </w:p>
        </w:tc>
      </w:tr>
      <w:tr w:rsidR="00F13718" w:rsidTr="00261131">
        <w:trPr>
          <w:trHeight w:val="510"/>
        </w:trPr>
        <w:tc>
          <w:tcPr>
            <w:tcW w:w="1800" w:type="dxa"/>
            <w:tcBorders>
              <w:top w:val="single" w:sz="12" w:space="0" w:color="auto"/>
              <w:left w:val="single" w:sz="12" w:space="0" w:color="auto"/>
              <w:bottom w:val="single" w:sz="12" w:space="0" w:color="auto"/>
              <w:right w:val="single" w:sz="12" w:space="0" w:color="auto"/>
            </w:tcBorders>
            <w:vAlign w:val="center"/>
          </w:tcPr>
          <w:p w:rsidR="00F13718" w:rsidRDefault="00F13718">
            <w:pPr>
              <w:widowControl w:val="0"/>
              <w:autoSpaceDE w:val="0"/>
              <w:autoSpaceDN w:val="0"/>
              <w:adjustRightInd w:val="0"/>
              <w:rPr>
                <w:sz w:val="18"/>
              </w:rPr>
            </w:pPr>
            <w:r>
              <w:rPr>
                <w:sz w:val="18"/>
              </w:rPr>
              <w:t>Nuitées étrangers</w:t>
            </w:r>
          </w:p>
        </w:tc>
        <w:tc>
          <w:tcPr>
            <w:tcW w:w="1461" w:type="dxa"/>
            <w:tcBorders>
              <w:top w:val="single" w:sz="12" w:space="0" w:color="auto"/>
              <w:left w:val="single" w:sz="12" w:space="0" w:color="auto"/>
              <w:bottom w:val="single" w:sz="12" w:space="0" w:color="auto"/>
              <w:right w:val="single" w:sz="12" w:space="0" w:color="auto"/>
            </w:tcBorders>
            <w:vAlign w:val="center"/>
          </w:tcPr>
          <w:p w:rsidR="00F13718" w:rsidRPr="00B817FA" w:rsidRDefault="00E9180A" w:rsidP="00E9180A">
            <w:pPr>
              <w:widowControl w:val="0"/>
              <w:autoSpaceDE w:val="0"/>
              <w:autoSpaceDN w:val="0"/>
              <w:adjustRightInd w:val="0"/>
              <w:jc w:val="center"/>
              <w:rPr>
                <w:b/>
                <w:sz w:val="18"/>
              </w:rPr>
            </w:pPr>
            <w:r>
              <w:rPr>
                <w:b/>
                <w:sz w:val="18"/>
              </w:rPr>
              <w:t>6</w:t>
            </w:r>
            <w:r w:rsidR="00F11A66">
              <w:rPr>
                <w:b/>
                <w:sz w:val="18"/>
              </w:rPr>
              <w:t>.</w:t>
            </w:r>
            <w:r>
              <w:rPr>
                <w:b/>
                <w:sz w:val="18"/>
              </w:rPr>
              <w:t>065</w:t>
            </w:r>
          </w:p>
        </w:tc>
        <w:tc>
          <w:tcPr>
            <w:tcW w:w="1417" w:type="dxa"/>
            <w:tcBorders>
              <w:top w:val="single" w:sz="12" w:space="0" w:color="auto"/>
              <w:left w:val="single" w:sz="12" w:space="0" w:color="auto"/>
              <w:bottom w:val="single" w:sz="12" w:space="0" w:color="auto"/>
              <w:right w:val="single" w:sz="12" w:space="0" w:color="auto"/>
            </w:tcBorders>
            <w:vAlign w:val="center"/>
          </w:tcPr>
          <w:p w:rsidR="00F13718" w:rsidRPr="00B817FA" w:rsidRDefault="0012073A" w:rsidP="00716809">
            <w:pPr>
              <w:widowControl w:val="0"/>
              <w:autoSpaceDE w:val="0"/>
              <w:autoSpaceDN w:val="0"/>
              <w:adjustRightInd w:val="0"/>
              <w:rPr>
                <w:b/>
                <w:sz w:val="18"/>
              </w:rPr>
            </w:pPr>
            <w:r>
              <w:rPr>
                <w:b/>
                <w:sz w:val="18"/>
              </w:rPr>
              <w:t>8.265</w:t>
            </w:r>
          </w:p>
        </w:tc>
        <w:tc>
          <w:tcPr>
            <w:tcW w:w="1843" w:type="dxa"/>
            <w:tcBorders>
              <w:top w:val="single" w:sz="12" w:space="0" w:color="auto"/>
              <w:left w:val="single" w:sz="12" w:space="0" w:color="auto"/>
              <w:bottom w:val="single" w:sz="12" w:space="0" w:color="auto"/>
              <w:right w:val="single" w:sz="12" w:space="0" w:color="auto"/>
            </w:tcBorders>
            <w:vAlign w:val="center"/>
          </w:tcPr>
          <w:p w:rsidR="00B50B11" w:rsidRPr="00B817FA" w:rsidRDefault="00707B9C" w:rsidP="00C01B69">
            <w:pPr>
              <w:widowControl w:val="0"/>
              <w:autoSpaceDE w:val="0"/>
              <w:autoSpaceDN w:val="0"/>
              <w:adjustRightInd w:val="0"/>
              <w:rPr>
                <w:b/>
                <w:sz w:val="18"/>
              </w:rPr>
            </w:pPr>
            <w:r>
              <w:rPr>
                <w:b/>
                <w:sz w:val="18"/>
              </w:rPr>
              <w:t xml:space="preserve">           +36,3</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E0525A">
            <w:pPr>
              <w:widowControl w:val="0"/>
              <w:autoSpaceDE w:val="0"/>
              <w:autoSpaceDN w:val="0"/>
              <w:adjustRightInd w:val="0"/>
              <w:rPr>
                <w:b/>
                <w:sz w:val="18"/>
              </w:rPr>
            </w:pPr>
            <w:r>
              <w:rPr>
                <w:b/>
                <w:sz w:val="18"/>
              </w:rPr>
              <w:t xml:space="preserve">        4.343</w:t>
            </w:r>
          </w:p>
        </w:tc>
        <w:tc>
          <w:tcPr>
            <w:tcW w:w="992" w:type="dxa"/>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C01B69">
            <w:pPr>
              <w:widowControl w:val="0"/>
              <w:autoSpaceDE w:val="0"/>
              <w:autoSpaceDN w:val="0"/>
              <w:adjustRightInd w:val="0"/>
              <w:rPr>
                <w:b/>
                <w:sz w:val="18"/>
              </w:rPr>
            </w:pPr>
            <w:r>
              <w:rPr>
                <w:b/>
                <w:sz w:val="18"/>
              </w:rPr>
              <w:t xml:space="preserve">   +90,3</w:t>
            </w:r>
          </w:p>
        </w:tc>
      </w:tr>
      <w:tr w:rsidR="00F13718" w:rsidTr="00261131">
        <w:trPr>
          <w:trHeight w:val="345"/>
        </w:trPr>
        <w:tc>
          <w:tcPr>
            <w:tcW w:w="1800"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Default="00F13718">
            <w:pPr>
              <w:widowControl w:val="0"/>
              <w:autoSpaceDE w:val="0"/>
              <w:autoSpaceDN w:val="0"/>
              <w:adjustRightInd w:val="0"/>
              <w:rPr>
                <w:b/>
                <w:sz w:val="18"/>
              </w:rPr>
            </w:pPr>
            <w:r>
              <w:rPr>
                <w:b/>
                <w:sz w:val="18"/>
              </w:rPr>
              <w:t>Taux de fréquentation nuitées</w:t>
            </w:r>
          </w:p>
        </w:tc>
        <w:tc>
          <w:tcPr>
            <w:tcW w:w="1461"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E9180A" w:rsidP="00E9180A">
            <w:pPr>
              <w:widowControl w:val="0"/>
              <w:autoSpaceDE w:val="0"/>
              <w:autoSpaceDN w:val="0"/>
              <w:adjustRightInd w:val="0"/>
              <w:jc w:val="center"/>
              <w:rPr>
                <w:b/>
                <w:sz w:val="18"/>
              </w:rPr>
            </w:pPr>
            <w:r>
              <w:rPr>
                <w:b/>
                <w:sz w:val="18"/>
              </w:rPr>
              <w:t xml:space="preserve">   10</w:t>
            </w:r>
            <w:r w:rsidR="006418C0">
              <w:rPr>
                <w:b/>
                <w:sz w:val="18"/>
              </w:rPr>
              <w:t>,</w:t>
            </w:r>
            <w:r>
              <w:rPr>
                <w:b/>
                <w:sz w:val="18"/>
              </w:rPr>
              <w:t>1</w:t>
            </w:r>
            <w:r w:rsidR="0023266F">
              <w:rPr>
                <w:b/>
                <w:sz w:val="18"/>
              </w:rPr>
              <w:t>%</w:t>
            </w:r>
          </w:p>
        </w:tc>
        <w:tc>
          <w:tcPr>
            <w:tcW w:w="1417"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12073A" w:rsidP="00716809">
            <w:pPr>
              <w:widowControl w:val="0"/>
              <w:autoSpaceDE w:val="0"/>
              <w:autoSpaceDN w:val="0"/>
              <w:adjustRightInd w:val="0"/>
              <w:rPr>
                <w:b/>
                <w:sz w:val="18"/>
              </w:rPr>
            </w:pPr>
            <w:r>
              <w:rPr>
                <w:b/>
                <w:sz w:val="18"/>
              </w:rPr>
              <w:t>11,95%</w:t>
            </w:r>
          </w:p>
        </w:tc>
        <w:tc>
          <w:tcPr>
            <w:tcW w:w="1843"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707B9C" w:rsidP="00C01B69">
            <w:pPr>
              <w:widowControl w:val="0"/>
              <w:autoSpaceDE w:val="0"/>
              <w:autoSpaceDN w:val="0"/>
              <w:adjustRightInd w:val="0"/>
              <w:rPr>
                <w:b/>
                <w:sz w:val="18"/>
              </w:rPr>
            </w:pPr>
            <w:r>
              <w:rPr>
                <w:b/>
                <w:sz w:val="18"/>
              </w:rPr>
              <w:t xml:space="preserve">           +18,3</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CA5F05" w:rsidP="00FF30A7">
            <w:pPr>
              <w:widowControl w:val="0"/>
              <w:autoSpaceDE w:val="0"/>
              <w:autoSpaceDN w:val="0"/>
              <w:adjustRightInd w:val="0"/>
              <w:rPr>
                <w:b/>
                <w:sz w:val="18"/>
              </w:rPr>
            </w:pPr>
            <w:r>
              <w:rPr>
                <w:b/>
                <w:sz w:val="18"/>
              </w:rPr>
              <w:t xml:space="preserve">       11,09%</w:t>
            </w:r>
          </w:p>
        </w:tc>
        <w:tc>
          <w:tcPr>
            <w:tcW w:w="992"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CA5F05" w:rsidP="00C01B69">
            <w:pPr>
              <w:widowControl w:val="0"/>
              <w:autoSpaceDE w:val="0"/>
              <w:autoSpaceDN w:val="0"/>
              <w:adjustRightInd w:val="0"/>
              <w:rPr>
                <w:b/>
                <w:sz w:val="18"/>
              </w:rPr>
            </w:pPr>
            <w:r>
              <w:rPr>
                <w:b/>
                <w:sz w:val="18"/>
              </w:rPr>
              <w:t xml:space="preserve">    +7,8</w:t>
            </w:r>
          </w:p>
        </w:tc>
      </w:tr>
      <w:tr w:rsidR="00F13718" w:rsidTr="00261131">
        <w:trPr>
          <w:trHeight w:val="345"/>
        </w:trPr>
        <w:tc>
          <w:tcPr>
            <w:tcW w:w="1800" w:type="dxa"/>
            <w:tcBorders>
              <w:top w:val="single" w:sz="12" w:space="0" w:color="auto"/>
              <w:left w:val="single" w:sz="12" w:space="0" w:color="auto"/>
              <w:bottom w:val="nil"/>
              <w:right w:val="single" w:sz="12" w:space="0" w:color="auto"/>
            </w:tcBorders>
            <w:vAlign w:val="center"/>
          </w:tcPr>
          <w:p w:rsidR="00F13718" w:rsidRDefault="00F13718">
            <w:pPr>
              <w:widowControl w:val="0"/>
              <w:autoSpaceDE w:val="0"/>
              <w:autoSpaceDN w:val="0"/>
              <w:adjustRightInd w:val="0"/>
              <w:rPr>
                <w:sz w:val="18"/>
              </w:rPr>
            </w:pPr>
            <w:r>
              <w:rPr>
                <w:sz w:val="18"/>
              </w:rPr>
              <w:t>nombre de couverts servis dont</w:t>
            </w:r>
          </w:p>
        </w:tc>
        <w:tc>
          <w:tcPr>
            <w:tcW w:w="1461" w:type="dxa"/>
            <w:tcBorders>
              <w:top w:val="single" w:sz="12" w:space="0" w:color="auto"/>
              <w:left w:val="single" w:sz="12" w:space="0" w:color="auto"/>
              <w:bottom w:val="nil"/>
              <w:right w:val="single" w:sz="12" w:space="0" w:color="auto"/>
            </w:tcBorders>
            <w:vAlign w:val="center"/>
          </w:tcPr>
          <w:p w:rsidR="00F13718" w:rsidRPr="00B817FA" w:rsidRDefault="00E9180A" w:rsidP="00E9180A">
            <w:pPr>
              <w:widowControl w:val="0"/>
              <w:autoSpaceDE w:val="0"/>
              <w:autoSpaceDN w:val="0"/>
              <w:adjustRightInd w:val="0"/>
              <w:jc w:val="center"/>
              <w:rPr>
                <w:b/>
                <w:sz w:val="18"/>
              </w:rPr>
            </w:pPr>
            <w:r>
              <w:rPr>
                <w:b/>
                <w:sz w:val="18"/>
              </w:rPr>
              <w:t>33</w:t>
            </w:r>
            <w:r w:rsidR="00F11A66">
              <w:rPr>
                <w:b/>
                <w:sz w:val="18"/>
              </w:rPr>
              <w:t>.</w:t>
            </w:r>
            <w:r>
              <w:rPr>
                <w:b/>
                <w:sz w:val="18"/>
              </w:rPr>
              <w:t>753</w:t>
            </w:r>
          </w:p>
        </w:tc>
        <w:tc>
          <w:tcPr>
            <w:tcW w:w="1417" w:type="dxa"/>
            <w:tcBorders>
              <w:top w:val="single" w:sz="12" w:space="0" w:color="auto"/>
              <w:left w:val="single" w:sz="12" w:space="0" w:color="auto"/>
              <w:bottom w:val="nil"/>
              <w:right w:val="single" w:sz="12" w:space="0" w:color="auto"/>
            </w:tcBorders>
            <w:vAlign w:val="center"/>
          </w:tcPr>
          <w:p w:rsidR="00F13718" w:rsidRPr="00B817FA" w:rsidRDefault="0012073A" w:rsidP="00E0525A">
            <w:pPr>
              <w:widowControl w:val="0"/>
              <w:autoSpaceDE w:val="0"/>
              <w:autoSpaceDN w:val="0"/>
              <w:adjustRightInd w:val="0"/>
              <w:rPr>
                <w:b/>
                <w:sz w:val="18"/>
              </w:rPr>
            </w:pPr>
            <w:r>
              <w:rPr>
                <w:b/>
                <w:sz w:val="18"/>
              </w:rPr>
              <w:t xml:space="preserve">         50.964</w:t>
            </w:r>
          </w:p>
        </w:tc>
        <w:tc>
          <w:tcPr>
            <w:tcW w:w="1843" w:type="dxa"/>
            <w:tcBorders>
              <w:top w:val="single" w:sz="12" w:space="0" w:color="auto"/>
              <w:left w:val="single" w:sz="12" w:space="0" w:color="auto"/>
              <w:bottom w:val="nil"/>
              <w:right w:val="single" w:sz="12" w:space="0" w:color="auto"/>
            </w:tcBorders>
            <w:vAlign w:val="center"/>
          </w:tcPr>
          <w:p w:rsidR="00F13718" w:rsidRPr="00B817FA" w:rsidRDefault="00707B9C" w:rsidP="00C01B69">
            <w:pPr>
              <w:widowControl w:val="0"/>
              <w:autoSpaceDE w:val="0"/>
              <w:autoSpaceDN w:val="0"/>
              <w:adjustRightInd w:val="0"/>
              <w:rPr>
                <w:b/>
                <w:sz w:val="18"/>
              </w:rPr>
            </w:pPr>
            <w:r>
              <w:rPr>
                <w:b/>
                <w:sz w:val="18"/>
              </w:rPr>
              <w:t xml:space="preserve">           +51,0</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FF30A7">
            <w:pPr>
              <w:widowControl w:val="0"/>
              <w:autoSpaceDE w:val="0"/>
              <w:autoSpaceDN w:val="0"/>
              <w:adjustRightInd w:val="0"/>
              <w:rPr>
                <w:b/>
                <w:sz w:val="18"/>
              </w:rPr>
            </w:pPr>
            <w:r>
              <w:rPr>
                <w:b/>
                <w:sz w:val="18"/>
              </w:rPr>
              <w:t xml:space="preserve">       44.127</w:t>
            </w:r>
          </w:p>
        </w:tc>
        <w:tc>
          <w:tcPr>
            <w:tcW w:w="992" w:type="dxa"/>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5622F7">
            <w:pPr>
              <w:widowControl w:val="0"/>
              <w:autoSpaceDE w:val="0"/>
              <w:autoSpaceDN w:val="0"/>
              <w:adjustRightInd w:val="0"/>
              <w:rPr>
                <w:b/>
                <w:sz w:val="18"/>
              </w:rPr>
            </w:pPr>
            <w:r>
              <w:rPr>
                <w:b/>
                <w:sz w:val="18"/>
              </w:rPr>
              <w:t xml:space="preserve">   +15,5</w:t>
            </w:r>
          </w:p>
        </w:tc>
      </w:tr>
      <w:tr w:rsidR="00F13718" w:rsidRPr="00425BBA" w:rsidTr="00261131">
        <w:trPr>
          <w:trHeight w:val="510"/>
        </w:trPr>
        <w:tc>
          <w:tcPr>
            <w:tcW w:w="1800" w:type="dxa"/>
            <w:tcBorders>
              <w:top w:val="single" w:sz="12" w:space="0" w:color="auto"/>
              <w:left w:val="single" w:sz="12" w:space="0" w:color="auto"/>
              <w:bottom w:val="single" w:sz="12" w:space="0" w:color="auto"/>
              <w:right w:val="single" w:sz="12" w:space="0" w:color="auto"/>
            </w:tcBorders>
            <w:vAlign w:val="center"/>
          </w:tcPr>
          <w:p w:rsidR="00F13718" w:rsidRDefault="00F13718">
            <w:pPr>
              <w:widowControl w:val="0"/>
              <w:autoSpaceDE w:val="0"/>
              <w:autoSpaceDN w:val="0"/>
              <w:adjustRightInd w:val="0"/>
              <w:rPr>
                <w:sz w:val="18"/>
              </w:rPr>
            </w:pPr>
            <w:r>
              <w:rPr>
                <w:sz w:val="18"/>
              </w:rPr>
              <w:t xml:space="preserve"> - Banquets</w:t>
            </w:r>
          </w:p>
        </w:tc>
        <w:tc>
          <w:tcPr>
            <w:tcW w:w="1461" w:type="dxa"/>
            <w:tcBorders>
              <w:top w:val="single" w:sz="12" w:space="0" w:color="auto"/>
              <w:left w:val="single" w:sz="12" w:space="0" w:color="auto"/>
              <w:bottom w:val="single" w:sz="12" w:space="0" w:color="auto"/>
              <w:right w:val="single" w:sz="12" w:space="0" w:color="auto"/>
            </w:tcBorders>
            <w:vAlign w:val="center"/>
          </w:tcPr>
          <w:p w:rsidR="00F13718" w:rsidRDefault="005061A6" w:rsidP="00E9180A">
            <w:pPr>
              <w:widowControl w:val="0"/>
              <w:autoSpaceDE w:val="0"/>
              <w:autoSpaceDN w:val="0"/>
              <w:adjustRightInd w:val="0"/>
              <w:jc w:val="center"/>
              <w:rPr>
                <w:b/>
                <w:sz w:val="18"/>
              </w:rPr>
            </w:pPr>
            <w:r>
              <w:rPr>
                <w:b/>
                <w:sz w:val="18"/>
              </w:rPr>
              <w:t>5</w:t>
            </w:r>
            <w:r w:rsidR="001664BD">
              <w:rPr>
                <w:b/>
                <w:sz w:val="18"/>
              </w:rPr>
              <w:t>.</w:t>
            </w:r>
            <w:r w:rsidR="00E9180A">
              <w:rPr>
                <w:b/>
                <w:sz w:val="18"/>
              </w:rPr>
              <w:t>751</w:t>
            </w:r>
          </w:p>
          <w:p w:rsidR="001664BD" w:rsidRPr="00B817FA" w:rsidRDefault="001664BD" w:rsidP="001664BD">
            <w:pPr>
              <w:widowControl w:val="0"/>
              <w:autoSpaceDE w:val="0"/>
              <w:autoSpaceDN w:val="0"/>
              <w:adjustRightInd w:val="0"/>
              <w:jc w:val="center"/>
              <w:rPr>
                <w:b/>
                <w:sz w:val="18"/>
              </w:rPr>
            </w:pPr>
          </w:p>
        </w:tc>
        <w:tc>
          <w:tcPr>
            <w:tcW w:w="1417" w:type="dxa"/>
            <w:tcBorders>
              <w:top w:val="single" w:sz="12" w:space="0" w:color="auto"/>
              <w:left w:val="single" w:sz="12" w:space="0" w:color="auto"/>
              <w:bottom w:val="single" w:sz="12" w:space="0" w:color="auto"/>
              <w:right w:val="single" w:sz="12" w:space="0" w:color="auto"/>
            </w:tcBorders>
            <w:vAlign w:val="center"/>
          </w:tcPr>
          <w:p w:rsidR="00F13718" w:rsidRPr="00B817FA" w:rsidRDefault="0012073A" w:rsidP="002A466F">
            <w:pPr>
              <w:widowControl w:val="0"/>
              <w:autoSpaceDE w:val="0"/>
              <w:autoSpaceDN w:val="0"/>
              <w:adjustRightInd w:val="0"/>
              <w:rPr>
                <w:b/>
                <w:sz w:val="18"/>
              </w:rPr>
            </w:pPr>
            <w:r>
              <w:rPr>
                <w:b/>
                <w:sz w:val="18"/>
              </w:rPr>
              <w:t>13.868</w:t>
            </w:r>
          </w:p>
        </w:tc>
        <w:tc>
          <w:tcPr>
            <w:tcW w:w="1843" w:type="dxa"/>
            <w:tcBorders>
              <w:top w:val="single" w:sz="12" w:space="0" w:color="auto"/>
              <w:left w:val="single" w:sz="12" w:space="0" w:color="auto"/>
              <w:bottom w:val="single" w:sz="12" w:space="0" w:color="auto"/>
              <w:right w:val="single" w:sz="12" w:space="0" w:color="auto"/>
            </w:tcBorders>
            <w:vAlign w:val="center"/>
          </w:tcPr>
          <w:p w:rsidR="00F13718" w:rsidRPr="00B817FA" w:rsidRDefault="00707B9C" w:rsidP="00C01B69">
            <w:pPr>
              <w:widowControl w:val="0"/>
              <w:autoSpaceDE w:val="0"/>
              <w:autoSpaceDN w:val="0"/>
              <w:adjustRightInd w:val="0"/>
              <w:rPr>
                <w:b/>
                <w:sz w:val="18"/>
              </w:rPr>
            </w:pPr>
            <w:r>
              <w:rPr>
                <w:b/>
                <w:sz w:val="18"/>
              </w:rPr>
              <w:t xml:space="preserve">        +141,1</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FF30A7">
            <w:pPr>
              <w:widowControl w:val="0"/>
              <w:autoSpaceDE w:val="0"/>
              <w:autoSpaceDN w:val="0"/>
              <w:adjustRightInd w:val="0"/>
              <w:jc w:val="center"/>
              <w:rPr>
                <w:b/>
                <w:sz w:val="18"/>
              </w:rPr>
            </w:pPr>
            <w:r>
              <w:rPr>
                <w:b/>
                <w:sz w:val="18"/>
              </w:rPr>
              <w:t>4.390</w:t>
            </w:r>
          </w:p>
        </w:tc>
        <w:tc>
          <w:tcPr>
            <w:tcW w:w="992" w:type="dxa"/>
            <w:tcBorders>
              <w:top w:val="single" w:sz="12" w:space="0" w:color="auto"/>
              <w:left w:val="single" w:sz="12" w:space="0" w:color="auto"/>
              <w:bottom w:val="single" w:sz="12" w:space="0" w:color="auto"/>
              <w:right w:val="single" w:sz="12" w:space="0" w:color="auto"/>
            </w:tcBorders>
            <w:vAlign w:val="center"/>
          </w:tcPr>
          <w:p w:rsidR="00B50B11" w:rsidRPr="00B817FA" w:rsidRDefault="00CA5F05" w:rsidP="00A46229">
            <w:pPr>
              <w:widowControl w:val="0"/>
              <w:autoSpaceDE w:val="0"/>
              <w:autoSpaceDN w:val="0"/>
              <w:adjustRightInd w:val="0"/>
              <w:rPr>
                <w:b/>
                <w:sz w:val="18"/>
              </w:rPr>
            </w:pPr>
            <w:r>
              <w:rPr>
                <w:b/>
                <w:sz w:val="18"/>
              </w:rPr>
              <w:t xml:space="preserve"> +215,9</w:t>
            </w:r>
          </w:p>
        </w:tc>
      </w:tr>
      <w:tr w:rsidR="00F13718" w:rsidTr="00261131">
        <w:trPr>
          <w:trHeight w:val="555"/>
        </w:trPr>
        <w:tc>
          <w:tcPr>
            <w:tcW w:w="1800" w:type="dxa"/>
            <w:tcBorders>
              <w:top w:val="single" w:sz="12" w:space="0" w:color="auto"/>
              <w:left w:val="single" w:sz="12" w:space="0" w:color="auto"/>
              <w:bottom w:val="single" w:sz="12" w:space="0" w:color="auto"/>
              <w:right w:val="single" w:sz="12" w:space="0" w:color="auto"/>
            </w:tcBorders>
            <w:vAlign w:val="center"/>
          </w:tcPr>
          <w:p w:rsidR="00F13718" w:rsidRDefault="00F13718">
            <w:pPr>
              <w:widowControl w:val="0"/>
              <w:autoSpaceDE w:val="0"/>
              <w:autoSpaceDN w:val="0"/>
              <w:adjustRightInd w:val="0"/>
              <w:rPr>
                <w:sz w:val="18"/>
              </w:rPr>
            </w:pPr>
            <w:r>
              <w:rPr>
                <w:sz w:val="18"/>
              </w:rPr>
              <w:t xml:space="preserve"> - Room Service</w:t>
            </w:r>
          </w:p>
        </w:tc>
        <w:tc>
          <w:tcPr>
            <w:tcW w:w="1461" w:type="dxa"/>
            <w:tcBorders>
              <w:top w:val="single" w:sz="12" w:space="0" w:color="auto"/>
              <w:left w:val="single" w:sz="12" w:space="0" w:color="auto"/>
              <w:bottom w:val="single" w:sz="12" w:space="0" w:color="auto"/>
              <w:right w:val="single" w:sz="12" w:space="0" w:color="auto"/>
            </w:tcBorders>
            <w:vAlign w:val="center"/>
          </w:tcPr>
          <w:p w:rsidR="00F13718" w:rsidRPr="00B817FA" w:rsidRDefault="00E9180A" w:rsidP="000B6A42">
            <w:pPr>
              <w:widowControl w:val="0"/>
              <w:autoSpaceDE w:val="0"/>
              <w:autoSpaceDN w:val="0"/>
              <w:adjustRightInd w:val="0"/>
              <w:jc w:val="center"/>
              <w:rPr>
                <w:b/>
                <w:sz w:val="18"/>
              </w:rPr>
            </w:pPr>
            <w:r>
              <w:rPr>
                <w:b/>
                <w:sz w:val="18"/>
              </w:rPr>
              <w:t>2.175</w:t>
            </w:r>
          </w:p>
        </w:tc>
        <w:tc>
          <w:tcPr>
            <w:tcW w:w="1417" w:type="dxa"/>
            <w:tcBorders>
              <w:top w:val="single" w:sz="12" w:space="0" w:color="auto"/>
              <w:left w:val="single" w:sz="12" w:space="0" w:color="auto"/>
              <w:bottom w:val="single" w:sz="12" w:space="0" w:color="auto"/>
              <w:right w:val="single" w:sz="12" w:space="0" w:color="auto"/>
            </w:tcBorders>
            <w:vAlign w:val="center"/>
          </w:tcPr>
          <w:p w:rsidR="00F13718" w:rsidRPr="00B817FA" w:rsidRDefault="0012073A" w:rsidP="00E0525A">
            <w:pPr>
              <w:widowControl w:val="0"/>
              <w:autoSpaceDE w:val="0"/>
              <w:autoSpaceDN w:val="0"/>
              <w:adjustRightInd w:val="0"/>
              <w:rPr>
                <w:b/>
                <w:sz w:val="18"/>
              </w:rPr>
            </w:pPr>
            <w:r>
              <w:rPr>
                <w:b/>
                <w:sz w:val="18"/>
              </w:rPr>
              <w:t xml:space="preserve">              -</w:t>
            </w:r>
          </w:p>
        </w:tc>
        <w:tc>
          <w:tcPr>
            <w:tcW w:w="1843" w:type="dxa"/>
            <w:tcBorders>
              <w:top w:val="single" w:sz="12" w:space="0" w:color="auto"/>
              <w:left w:val="single" w:sz="12" w:space="0" w:color="auto"/>
              <w:bottom w:val="single" w:sz="12" w:space="0" w:color="auto"/>
              <w:right w:val="single" w:sz="12" w:space="0" w:color="auto"/>
            </w:tcBorders>
            <w:vAlign w:val="center"/>
          </w:tcPr>
          <w:p w:rsidR="00F13718" w:rsidRPr="00B817FA" w:rsidRDefault="00707B9C" w:rsidP="00693257">
            <w:pPr>
              <w:widowControl w:val="0"/>
              <w:autoSpaceDE w:val="0"/>
              <w:autoSpaceDN w:val="0"/>
              <w:adjustRightInd w:val="0"/>
              <w:rPr>
                <w:b/>
                <w:sz w:val="18"/>
              </w:rPr>
            </w:pPr>
            <w:r>
              <w:rPr>
                <w:b/>
                <w:sz w:val="18"/>
              </w:rPr>
              <w:t xml:space="preserve">         -100,0</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CA5F05">
            <w:pPr>
              <w:widowControl w:val="0"/>
              <w:autoSpaceDE w:val="0"/>
              <w:autoSpaceDN w:val="0"/>
              <w:adjustRightInd w:val="0"/>
              <w:rPr>
                <w:b/>
                <w:sz w:val="18"/>
              </w:rPr>
            </w:pPr>
            <w:r>
              <w:rPr>
                <w:b/>
                <w:sz w:val="18"/>
              </w:rPr>
              <w:t xml:space="preserve">        1.402</w:t>
            </w:r>
          </w:p>
        </w:tc>
        <w:tc>
          <w:tcPr>
            <w:tcW w:w="992" w:type="dxa"/>
            <w:tcBorders>
              <w:top w:val="single" w:sz="12" w:space="0" w:color="auto"/>
              <w:left w:val="single" w:sz="12" w:space="0" w:color="auto"/>
              <w:bottom w:val="single" w:sz="12" w:space="0" w:color="auto"/>
              <w:right w:val="single" w:sz="12" w:space="0" w:color="auto"/>
            </w:tcBorders>
            <w:vAlign w:val="center"/>
          </w:tcPr>
          <w:p w:rsidR="00F13718" w:rsidRPr="00B817FA" w:rsidRDefault="00CA5F05" w:rsidP="002121C8">
            <w:pPr>
              <w:widowControl w:val="0"/>
              <w:autoSpaceDE w:val="0"/>
              <w:autoSpaceDN w:val="0"/>
              <w:adjustRightInd w:val="0"/>
              <w:rPr>
                <w:b/>
                <w:sz w:val="18"/>
              </w:rPr>
            </w:pPr>
            <w:r>
              <w:rPr>
                <w:b/>
                <w:sz w:val="18"/>
              </w:rPr>
              <w:t xml:space="preserve">  -100,0</w:t>
            </w:r>
          </w:p>
        </w:tc>
      </w:tr>
      <w:tr w:rsidR="00F13718" w:rsidTr="00261131">
        <w:trPr>
          <w:trHeight w:val="405"/>
        </w:trPr>
        <w:tc>
          <w:tcPr>
            <w:tcW w:w="1800"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Default="00F13718">
            <w:pPr>
              <w:widowControl w:val="0"/>
              <w:autoSpaceDE w:val="0"/>
              <w:autoSpaceDN w:val="0"/>
              <w:adjustRightInd w:val="0"/>
              <w:rPr>
                <w:b/>
                <w:sz w:val="18"/>
              </w:rPr>
            </w:pPr>
            <w:r>
              <w:rPr>
                <w:b/>
                <w:sz w:val="18"/>
              </w:rPr>
              <w:t>Taux de fréquentation restauration</w:t>
            </w:r>
          </w:p>
        </w:tc>
        <w:tc>
          <w:tcPr>
            <w:tcW w:w="1461"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E9180A" w:rsidP="00E9180A">
            <w:pPr>
              <w:widowControl w:val="0"/>
              <w:autoSpaceDE w:val="0"/>
              <w:autoSpaceDN w:val="0"/>
              <w:adjustRightInd w:val="0"/>
              <w:jc w:val="center"/>
              <w:rPr>
                <w:b/>
                <w:sz w:val="18"/>
              </w:rPr>
            </w:pPr>
            <w:r>
              <w:rPr>
                <w:b/>
                <w:sz w:val="18"/>
              </w:rPr>
              <w:t>17</w:t>
            </w:r>
            <w:r w:rsidR="006418C0">
              <w:rPr>
                <w:b/>
                <w:sz w:val="18"/>
              </w:rPr>
              <w:t>,</w:t>
            </w:r>
            <w:r>
              <w:rPr>
                <w:b/>
                <w:sz w:val="18"/>
              </w:rPr>
              <w:t>24</w:t>
            </w:r>
            <w:r w:rsidR="00F11A66">
              <w:rPr>
                <w:b/>
                <w:sz w:val="18"/>
              </w:rPr>
              <w:t>%</w:t>
            </w:r>
          </w:p>
        </w:tc>
        <w:tc>
          <w:tcPr>
            <w:tcW w:w="1417"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12073A" w:rsidP="00E0525A">
            <w:pPr>
              <w:widowControl w:val="0"/>
              <w:autoSpaceDE w:val="0"/>
              <w:autoSpaceDN w:val="0"/>
              <w:adjustRightInd w:val="0"/>
              <w:rPr>
                <w:b/>
                <w:sz w:val="18"/>
              </w:rPr>
            </w:pPr>
            <w:r>
              <w:rPr>
                <w:b/>
                <w:sz w:val="18"/>
              </w:rPr>
              <w:t xml:space="preserve">       17,18%</w:t>
            </w:r>
          </w:p>
        </w:tc>
        <w:tc>
          <w:tcPr>
            <w:tcW w:w="1843"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707B9C" w:rsidP="00C01B69">
            <w:pPr>
              <w:widowControl w:val="0"/>
              <w:autoSpaceDE w:val="0"/>
              <w:autoSpaceDN w:val="0"/>
              <w:adjustRightInd w:val="0"/>
              <w:rPr>
                <w:b/>
                <w:sz w:val="18"/>
              </w:rPr>
            </w:pPr>
            <w:r>
              <w:rPr>
                <w:b/>
                <w:sz w:val="18"/>
              </w:rPr>
              <w:t xml:space="preserve">            -0,3</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CA5F05" w:rsidP="00646E07">
            <w:pPr>
              <w:widowControl w:val="0"/>
              <w:autoSpaceDE w:val="0"/>
              <w:autoSpaceDN w:val="0"/>
              <w:adjustRightInd w:val="0"/>
              <w:rPr>
                <w:b/>
                <w:sz w:val="18"/>
              </w:rPr>
            </w:pPr>
            <w:r>
              <w:rPr>
                <w:b/>
                <w:sz w:val="18"/>
              </w:rPr>
              <w:t xml:space="preserve">      19,03%</w:t>
            </w:r>
          </w:p>
        </w:tc>
        <w:tc>
          <w:tcPr>
            <w:tcW w:w="992" w:type="dxa"/>
            <w:tcBorders>
              <w:top w:val="single" w:sz="12" w:space="0" w:color="auto"/>
              <w:left w:val="single" w:sz="12" w:space="0" w:color="auto"/>
              <w:bottom w:val="single" w:sz="12" w:space="0" w:color="auto"/>
              <w:right w:val="single" w:sz="12" w:space="0" w:color="auto"/>
            </w:tcBorders>
            <w:shd w:val="clear" w:color="auto" w:fill="00FFFF"/>
            <w:vAlign w:val="center"/>
          </w:tcPr>
          <w:p w:rsidR="00F13718" w:rsidRPr="00B817FA" w:rsidRDefault="00CA5F05" w:rsidP="00C01B69">
            <w:pPr>
              <w:widowControl w:val="0"/>
              <w:autoSpaceDE w:val="0"/>
              <w:autoSpaceDN w:val="0"/>
              <w:adjustRightInd w:val="0"/>
              <w:rPr>
                <w:b/>
                <w:sz w:val="18"/>
              </w:rPr>
            </w:pPr>
            <w:r>
              <w:rPr>
                <w:b/>
                <w:sz w:val="18"/>
              </w:rPr>
              <w:t xml:space="preserve">     -9,7</w:t>
            </w:r>
          </w:p>
        </w:tc>
      </w:tr>
    </w:tbl>
    <w:p w:rsidR="000B6A42" w:rsidRDefault="000B6A42" w:rsidP="000B6A42">
      <w:pPr>
        <w:pStyle w:val="Corpsdetexte2"/>
        <w:jc w:val="both"/>
      </w:pPr>
    </w:p>
    <w:p w:rsidR="00C114E6" w:rsidRDefault="00BF236B" w:rsidP="00C53046">
      <w:pPr>
        <w:pStyle w:val="Corpsdetexte2"/>
        <w:jc w:val="both"/>
      </w:pPr>
      <w:r>
        <w:t xml:space="preserve">Ces données </w:t>
      </w:r>
      <w:r w:rsidR="0092330B">
        <w:t>statistiques,</w:t>
      </w:r>
      <w:r w:rsidR="00BE3D7F">
        <w:t xml:space="preserve"> en relation avec les capacités réellement installées et </w:t>
      </w:r>
      <w:r w:rsidR="0092330B">
        <w:t>opérationnelles,</w:t>
      </w:r>
      <w:r>
        <w:t xml:space="preserve"> traduisent </w:t>
      </w:r>
      <w:r w:rsidR="008D6327">
        <w:t xml:space="preserve">parfaitement, en termes d’activité, </w:t>
      </w:r>
      <w:r w:rsidR="00422B2B">
        <w:t xml:space="preserve">la fluctuation </w:t>
      </w:r>
      <w:r w:rsidR="00052F1B">
        <w:t>qu’</w:t>
      </w:r>
      <w:proofErr w:type="spellStart"/>
      <w:r w:rsidR="00052F1B">
        <w:t>a</w:t>
      </w:r>
      <w:r w:rsidR="00B50B11">
        <w:t>connue</w:t>
      </w:r>
      <w:proofErr w:type="spellEnd"/>
      <w:r w:rsidR="00EF5004">
        <w:t xml:space="preserve"> la chaine</w:t>
      </w:r>
      <w:r w:rsidR="00422B2B">
        <w:t xml:space="preserve"> EL-</w:t>
      </w:r>
      <w:proofErr w:type="spellStart"/>
      <w:r w:rsidR="00422B2B">
        <w:t>Aurassi</w:t>
      </w:r>
      <w:proofErr w:type="spellEnd"/>
      <w:r w:rsidR="00112809">
        <w:t xml:space="preserve"> du</w:t>
      </w:r>
      <w:r w:rsidR="00BE3D7F">
        <w:t xml:space="preserve">rant les premiers semestres </w:t>
      </w:r>
      <w:r w:rsidR="00C86D5A">
        <w:t>2021-2022</w:t>
      </w:r>
      <w:r w:rsidR="00112809">
        <w:t>.</w:t>
      </w:r>
    </w:p>
    <w:p w:rsidR="00C53046" w:rsidRDefault="00C53046" w:rsidP="00C53046">
      <w:pPr>
        <w:pStyle w:val="Corpsdetexte2"/>
        <w:jc w:val="both"/>
      </w:pPr>
    </w:p>
    <w:p w:rsidR="00C53046" w:rsidRDefault="00C53046" w:rsidP="00C53046">
      <w:pPr>
        <w:pStyle w:val="Corpsdetexte2"/>
        <w:jc w:val="both"/>
      </w:pPr>
    </w:p>
    <w:p w:rsidR="00C53046" w:rsidRDefault="00C53046" w:rsidP="00C53046">
      <w:pPr>
        <w:pStyle w:val="Corpsdetexte2"/>
        <w:jc w:val="both"/>
      </w:pPr>
    </w:p>
    <w:p w:rsidR="00C53046" w:rsidRDefault="00C53046" w:rsidP="00C53046">
      <w:pPr>
        <w:pStyle w:val="Corpsdetexte2"/>
        <w:jc w:val="both"/>
      </w:pPr>
    </w:p>
    <w:p w:rsidR="00C53046" w:rsidRDefault="00C53046" w:rsidP="00C53046">
      <w:pPr>
        <w:pStyle w:val="Corpsdetexte2"/>
        <w:jc w:val="both"/>
      </w:pPr>
    </w:p>
    <w:p w:rsidR="00C53046" w:rsidRDefault="00C53046" w:rsidP="00C53046">
      <w:pPr>
        <w:pStyle w:val="Corpsdetexte2"/>
        <w:jc w:val="both"/>
      </w:pPr>
    </w:p>
    <w:p w:rsidR="00C53046" w:rsidRDefault="00C53046" w:rsidP="00C53046">
      <w:pPr>
        <w:pStyle w:val="Corpsdetexte2"/>
        <w:jc w:val="both"/>
      </w:pPr>
    </w:p>
    <w:p w:rsidR="00C53046" w:rsidRDefault="00C53046" w:rsidP="00C53046">
      <w:pPr>
        <w:pStyle w:val="Corpsdetexte2"/>
        <w:jc w:val="both"/>
      </w:pPr>
    </w:p>
    <w:p w:rsidR="00C53046" w:rsidRDefault="00C53046" w:rsidP="00C53046">
      <w:pPr>
        <w:pStyle w:val="Corpsdetexte2"/>
        <w:jc w:val="both"/>
      </w:pPr>
    </w:p>
    <w:p w:rsidR="00C53046" w:rsidRDefault="00C53046" w:rsidP="00C53046">
      <w:pPr>
        <w:pStyle w:val="Corpsdetexte2"/>
        <w:jc w:val="both"/>
      </w:pPr>
    </w:p>
    <w:p w:rsidR="00C53046" w:rsidRDefault="00C53046" w:rsidP="00C53046">
      <w:pPr>
        <w:pStyle w:val="Corpsdetexte2"/>
        <w:jc w:val="both"/>
      </w:pPr>
    </w:p>
    <w:p w:rsidR="00C53046" w:rsidRDefault="00C53046" w:rsidP="00C53046">
      <w:pPr>
        <w:pStyle w:val="Corpsdetexte2"/>
        <w:jc w:val="both"/>
      </w:pPr>
    </w:p>
    <w:p w:rsidR="0012073A" w:rsidRDefault="0012073A" w:rsidP="00C53046">
      <w:pPr>
        <w:pStyle w:val="Corpsdetexte2"/>
        <w:jc w:val="both"/>
      </w:pPr>
    </w:p>
    <w:p w:rsidR="0012073A" w:rsidRDefault="0012073A" w:rsidP="00C53046">
      <w:pPr>
        <w:pStyle w:val="Corpsdetexte2"/>
        <w:jc w:val="both"/>
      </w:pPr>
    </w:p>
    <w:p w:rsidR="0012073A" w:rsidRDefault="0012073A" w:rsidP="00C53046">
      <w:pPr>
        <w:pStyle w:val="Corpsdetexte2"/>
        <w:jc w:val="both"/>
      </w:pPr>
    </w:p>
    <w:p w:rsidR="0012073A" w:rsidRDefault="0012073A" w:rsidP="00C53046">
      <w:pPr>
        <w:pStyle w:val="Corpsdetexte2"/>
        <w:jc w:val="both"/>
      </w:pPr>
    </w:p>
    <w:p w:rsidR="0012073A" w:rsidRDefault="0012073A" w:rsidP="00C53046">
      <w:pPr>
        <w:pStyle w:val="Corpsdetexte2"/>
        <w:jc w:val="both"/>
      </w:pPr>
    </w:p>
    <w:p w:rsidR="0012073A" w:rsidRDefault="0012073A" w:rsidP="00C53046">
      <w:pPr>
        <w:pStyle w:val="Corpsdetexte2"/>
        <w:jc w:val="both"/>
      </w:pPr>
    </w:p>
    <w:p w:rsidR="0012073A" w:rsidRDefault="0012073A" w:rsidP="00C53046">
      <w:pPr>
        <w:pStyle w:val="Corpsdetexte2"/>
        <w:jc w:val="both"/>
      </w:pPr>
    </w:p>
    <w:p w:rsidR="0012073A" w:rsidRDefault="0012073A" w:rsidP="00C53046">
      <w:pPr>
        <w:pStyle w:val="Corpsdetexte2"/>
        <w:jc w:val="both"/>
      </w:pPr>
    </w:p>
    <w:p w:rsidR="0012073A" w:rsidRDefault="0012073A" w:rsidP="00C53046">
      <w:pPr>
        <w:pStyle w:val="Corpsdetexte2"/>
        <w:jc w:val="both"/>
      </w:pPr>
    </w:p>
    <w:p w:rsidR="0012073A" w:rsidRPr="00C53046" w:rsidRDefault="0012073A" w:rsidP="00C53046">
      <w:pPr>
        <w:pStyle w:val="Corpsdetexte2"/>
        <w:jc w:val="both"/>
      </w:pPr>
    </w:p>
    <w:p w:rsidR="00AE224E" w:rsidRDefault="000744D2" w:rsidP="00C71AB7">
      <w:pPr>
        <w:pStyle w:val="En-tte"/>
        <w:tabs>
          <w:tab w:val="clear" w:pos="4153"/>
          <w:tab w:val="clear" w:pos="8306"/>
        </w:tabs>
        <w:ind w:left="567"/>
        <w:jc w:val="both"/>
        <w:rPr>
          <w:b/>
          <w:color w:val="000080"/>
          <w:sz w:val="32"/>
          <w:u w:val="single"/>
        </w:rPr>
      </w:pPr>
      <w:r>
        <w:rPr>
          <w:b/>
          <w:color w:val="000080"/>
          <w:sz w:val="32"/>
          <w:u w:val="single"/>
        </w:rPr>
        <w:t>4</w:t>
      </w:r>
      <w:r w:rsidR="00AE224E">
        <w:rPr>
          <w:b/>
          <w:color w:val="000080"/>
          <w:sz w:val="32"/>
          <w:u w:val="single"/>
        </w:rPr>
        <w:t>-2 / Les charges :</w:t>
      </w:r>
    </w:p>
    <w:tbl>
      <w:tblPr>
        <w:tblpPr w:leftFromText="141" w:rightFromText="141" w:vertAnchor="text" w:horzAnchor="margin" w:tblpXSpec="center" w:tblpY="129"/>
        <w:tblW w:w="87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4" w:type="dxa"/>
          <w:right w:w="54" w:type="dxa"/>
        </w:tblCellMar>
        <w:tblLook w:val="0000"/>
      </w:tblPr>
      <w:tblGrid>
        <w:gridCol w:w="1674"/>
        <w:gridCol w:w="1641"/>
        <w:gridCol w:w="1559"/>
        <w:gridCol w:w="1276"/>
        <w:gridCol w:w="1417"/>
        <w:gridCol w:w="1134"/>
      </w:tblGrid>
      <w:tr w:rsidR="00FD5136" w:rsidTr="00FD5136">
        <w:trPr>
          <w:cantSplit/>
          <w:trHeight w:val="375"/>
        </w:trPr>
        <w:tc>
          <w:tcPr>
            <w:tcW w:w="1674" w:type="dxa"/>
            <w:vMerge w:val="restart"/>
            <w:shd w:val="clear" w:color="auto" w:fill="00FFFF"/>
            <w:vAlign w:val="center"/>
          </w:tcPr>
          <w:p w:rsidR="00FD5136" w:rsidRDefault="00FD5136" w:rsidP="00C71AB7">
            <w:pPr>
              <w:widowControl w:val="0"/>
              <w:autoSpaceDE w:val="0"/>
              <w:autoSpaceDN w:val="0"/>
              <w:adjustRightInd w:val="0"/>
              <w:jc w:val="center"/>
              <w:rPr>
                <w:b/>
                <w:sz w:val="16"/>
              </w:rPr>
            </w:pPr>
            <w:r>
              <w:rPr>
                <w:b/>
                <w:sz w:val="16"/>
              </w:rPr>
              <w:t>RUBRIQUES</w:t>
            </w:r>
          </w:p>
        </w:tc>
        <w:tc>
          <w:tcPr>
            <w:tcW w:w="4476" w:type="dxa"/>
            <w:gridSpan w:val="3"/>
            <w:tcBorders>
              <w:bottom w:val="single" w:sz="12" w:space="0" w:color="auto"/>
            </w:tcBorders>
            <w:shd w:val="clear" w:color="auto" w:fill="00FFFF"/>
            <w:vAlign w:val="center"/>
          </w:tcPr>
          <w:p w:rsidR="00FD5136" w:rsidRDefault="00FD5136" w:rsidP="00C71AB7">
            <w:pPr>
              <w:widowControl w:val="0"/>
              <w:autoSpaceDE w:val="0"/>
              <w:autoSpaceDN w:val="0"/>
              <w:adjustRightInd w:val="0"/>
              <w:jc w:val="center"/>
              <w:rPr>
                <w:b/>
                <w:sz w:val="16"/>
              </w:rPr>
            </w:pPr>
            <w:r>
              <w:rPr>
                <w:b/>
                <w:sz w:val="16"/>
              </w:rPr>
              <w:t>REALISATIONS</w:t>
            </w:r>
          </w:p>
        </w:tc>
        <w:tc>
          <w:tcPr>
            <w:tcW w:w="2551" w:type="dxa"/>
            <w:gridSpan w:val="2"/>
            <w:tcBorders>
              <w:bottom w:val="single" w:sz="4" w:space="0" w:color="auto"/>
            </w:tcBorders>
            <w:shd w:val="clear" w:color="auto" w:fill="00FFFF"/>
            <w:vAlign w:val="center"/>
          </w:tcPr>
          <w:p w:rsidR="00FD5136" w:rsidRDefault="00FD5136" w:rsidP="00C71AB7">
            <w:pPr>
              <w:widowControl w:val="0"/>
              <w:autoSpaceDE w:val="0"/>
              <w:autoSpaceDN w:val="0"/>
              <w:adjustRightInd w:val="0"/>
              <w:jc w:val="center"/>
              <w:rPr>
                <w:b/>
                <w:sz w:val="16"/>
              </w:rPr>
            </w:pPr>
            <w:r>
              <w:rPr>
                <w:b/>
                <w:sz w:val="14"/>
              </w:rPr>
              <w:t xml:space="preserve">PREVISIONS   </w:t>
            </w:r>
          </w:p>
          <w:p w:rsidR="00FD5136" w:rsidRDefault="00FD5136" w:rsidP="00C71AB7">
            <w:pPr>
              <w:widowControl w:val="0"/>
              <w:autoSpaceDE w:val="0"/>
              <w:autoSpaceDN w:val="0"/>
              <w:adjustRightInd w:val="0"/>
              <w:jc w:val="center"/>
              <w:rPr>
                <w:b/>
                <w:sz w:val="16"/>
              </w:rPr>
            </w:pPr>
          </w:p>
        </w:tc>
      </w:tr>
      <w:tr w:rsidR="00FD5136" w:rsidTr="00FD5136">
        <w:trPr>
          <w:cantSplit/>
          <w:trHeight w:val="330"/>
        </w:trPr>
        <w:tc>
          <w:tcPr>
            <w:tcW w:w="1674" w:type="dxa"/>
            <w:vMerge/>
            <w:vAlign w:val="center"/>
          </w:tcPr>
          <w:p w:rsidR="00FD5136" w:rsidRDefault="00FD5136" w:rsidP="00C71AB7">
            <w:pPr>
              <w:widowControl w:val="0"/>
              <w:autoSpaceDE w:val="0"/>
              <w:autoSpaceDN w:val="0"/>
              <w:adjustRightInd w:val="0"/>
              <w:jc w:val="center"/>
              <w:rPr>
                <w:b/>
                <w:sz w:val="16"/>
              </w:rPr>
            </w:pPr>
          </w:p>
        </w:tc>
        <w:tc>
          <w:tcPr>
            <w:tcW w:w="1641" w:type="dxa"/>
            <w:shd w:val="clear" w:color="auto" w:fill="00FFFF"/>
            <w:vAlign w:val="center"/>
          </w:tcPr>
          <w:p w:rsidR="00FD5136" w:rsidRDefault="00FD5136" w:rsidP="00C71AB7">
            <w:pPr>
              <w:widowControl w:val="0"/>
              <w:autoSpaceDE w:val="0"/>
              <w:autoSpaceDN w:val="0"/>
              <w:adjustRightInd w:val="0"/>
              <w:jc w:val="center"/>
              <w:rPr>
                <w:b/>
                <w:sz w:val="16"/>
              </w:rPr>
            </w:pPr>
            <w:r>
              <w:rPr>
                <w:b/>
                <w:sz w:val="16"/>
              </w:rPr>
              <w:t>1er Semestre 20</w:t>
            </w:r>
            <w:r w:rsidR="00914370">
              <w:rPr>
                <w:b/>
                <w:sz w:val="16"/>
              </w:rPr>
              <w:t>2</w:t>
            </w:r>
            <w:r w:rsidR="00E0525A">
              <w:rPr>
                <w:b/>
                <w:sz w:val="16"/>
              </w:rPr>
              <w:t>1</w:t>
            </w:r>
          </w:p>
        </w:tc>
        <w:tc>
          <w:tcPr>
            <w:tcW w:w="1559" w:type="dxa"/>
            <w:shd w:val="clear" w:color="auto" w:fill="00FFFF"/>
            <w:vAlign w:val="center"/>
          </w:tcPr>
          <w:p w:rsidR="00FD5136" w:rsidRDefault="00FD5136" w:rsidP="00C71AB7">
            <w:pPr>
              <w:widowControl w:val="0"/>
              <w:autoSpaceDE w:val="0"/>
              <w:autoSpaceDN w:val="0"/>
              <w:adjustRightInd w:val="0"/>
              <w:jc w:val="center"/>
              <w:rPr>
                <w:b/>
                <w:sz w:val="16"/>
              </w:rPr>
            </w:pPr>
            <w:r>
              <w:rPr>
                <w:b/>
                <w:sz w:val="16"/>
              </w:rPr>
              <w:t>1er Semestre 20</w:t>
            </w:r>
            <w:r w:rsidR="00646E07">
              <w:rPr>
                <w:b/>
                <w:sz w:val="16"/>
              </w:rPr>
              <w:t>2</w:t>
            </w:r>
            <w:r w:rsidR="00E0525A">
              <w:rPr>
                <w:b/>
                <w:sz w:val="16"/>
              </w:rPr>
              <w:t>2</w:t>
            </w:r>
          </w:p>
        </w:tc>
        <w:tc>
          <w:tcPr>
            <w:tcW w:w="1276" w:type="dxa"/>
            <w:shd w:val="clear" w:color="auto" w:fill="00FFFF"/>
            <w:vAlign w:val="center"/>
          </w:tcPr>
          <w:p w:rsidR="00FD5136" w:rsidRDefault="00FD5136" w:rsidP="00DB610B">
            <w:pPr>
              <w:widowControl w:val="0"/>
              <w:autoSpaceDE w:val="0"/>
              <w:autoSpaceDN w:val="0"/>
              <w:adjustRightInd w:val="0"/>
              <w:jc w:val="center"/>
              <w:rPr>
                <w:b/>
                <w:sz w:val="16"/>
              </w:rPr>
            </w:pPr>
            <w:r>
              <w:rPr>
                <w:b/>
                <w:sz w:val="16"/>
              </w:rPr>
              <w:t>Evolution en %</w:t>
            </w:r>
          </w:p>
        </w:tc>
        <w:tc>
          <w:tcPr>
            <w:tcW w:w="1417" w:type="dxa"/>
            <w:tcBorders>
              <w:top w:val="single" w:sz="12" w:space="0" w:color="auto"/>
              <w:bottom w:val="single" w:sz="12" w:space="0" w:color="auto"/>
              <w:right w:val="single" w:sz="12" w:space="0" w:color="auto"/>
            </w:tcBorders>
            <w:shd w:val="clear" w:color="auto" w:fill="00FFFF"/>
            <w:vAlign w:val="center"/>
          </w:tcPr>
          <w:p w:rsidR="00FD5136" w:rsidRDefault="00FD5136" w:rsidP="00C71AB7">
            <w:pPr>
              <w:widowControl w:val="0"/>
              <w:autoSpaceDE w:val="0"/>
              <w:autoSpaceDN w:val="0"/>
              <w:adjustRightInd w:val="0"/>
              <w:jc w:val="center"/>
              <w:rPr>
                <w:b/>
                <w:sz w:val="16"/>
              </w:rPr>
            </w:pPr>
            <w:r>
              <w:rPr>
                <w:b/>
                <w:sz w:val="16"/>
              </w:rPr>
              <w:t>1er Semestre 20</w:t>
            </w:r>
            <w:r w:rsidR="00E0525A">
              <w:rPr>
                <w:b/>
                <w:sz w:val="16"/>
              </w:rPr>
              <w:t>22</w:t>
            </w:r>
          </w:p>
        </w:tc>
        <w:tc>
          <w:tcPr>
            <w:tcW w:w="1134" w:type="dxa"/>
            <w:tcBorders>
              <w:top w:val="single" w:sz="12" w:space="0" w:color="auto"/>
              <w:left w:val="single" w:sz="12" w:space="0" w:color="auto"/>
              <w:bottom w:val="single" w:sz="12" w:space="0" w:color="auto"/>
            </w:tcBorders>
            <w:shd w:val="clear" w:color="auto" w:fill="00FFFF"/>
            <w:vAlign w:val="center"/>
          </w:tcPr>
          <w:p w:rsidR="00FD5136" w:rsidRDefault="00956CC1" w:rsidP="00C71AB7">
            <w:pPr>
              <w:widowControl w:val="0"/>
              <w:autoSpaceDE w:val="0"/>
              <w:autoSpaceDN w:val="0"/>
              <w:adjustRightInd w:val="0"/>
              <w:jc w:val="center"/>
              <w:rPr>
                <w:b/>
                <w:sz w:val="16"/>
              </w:rPr>
            </w:pPr>
            <w:r>
              <w:rPr>
                <w:b/>
                <w:sz w:val="16"/>
              </w:rPr>
              <w:t>Ecarts en %</w:t>
            </w:r>
          </w:p>
        </w:tc>
      </w:tr>
      <w:tr w:rsidR="00FD5136" w:rsidTr="00FD5136">
        <w:trPr>
          <w:trHeight w:val="435"/>
        </w:trPr>
        <w:tc>
          <w:tcPr>
            <w:tcW w:w="1674" w:type="dxa"/>
            <w:vAlign w:val="center"/>
          </w:tcPr>
          <w:p w:rsidR="00FD5136" w:rsidRDefault="00FD5136" w:rsidP="00C71AB7">
            <w:pPr>
              <w:widowControl w:val="0"/>
              <w:autoSpaceDE w:val="0"/>
              <w:autoSpaceDN w:val="0"/>
              <w:adjustRightInd w:val="0"/>
              <w:ind w:left="22" w:firstLine="21"/>
              <w:rPr>
                <w:sz w:val="16"/>
              </w:rPr>
            </w:pPr>
            <w:r>
              <w:rPr>
                <w:sz w:val="16"/>
              </w:rPr>
              <w:t>Coût des boissons</w:t>
            </w:r>
          </w:p>
        </w:tc>
        <w:tc>
          <w:tcPr>
            <w:tcW w:w="1641" w:type="dxa"/>
            <w:vAlign w:val="center"/>
          </w:tcPr>
          <w:p w:rsidR="00FD5136" w:rsidRPr="00370B0E" w:rsidRDefault="00E0525A" w:rsidP="00E0525A">
            <w:pPr>
              <w:widowControl w:val="0"/>
              <w:autoSpaceDE w:val="0"/>
              <w:autoSpaceDN w:val="0"/>
              <w:adjustRightInd w:val="0"/>
              <w:jc w:val="right"/>
              <w:rPr>
                <w:b/>
                <w:sz w:val="16"/>
                <w:szCs w:val="16"/>
              </w:rPr>
            </w:pPr>
            <w:r>
              <w:rPr>
                <w:b/>
                <w:sz w:val="16"/>
                <w:szCs w:val="16"/>
              </w:rPr>
              <w:t>13</w:t>
            </w:r>
            <w:r w:rsidR="00F11A66">
              <w:rPr>
                <w:b/>
                <w:sz w:val="16"/>
                <w:szCs w:val="16"/>
              </w:rPr>
              <w:t>.</w:t>
            </w:r>
            <w:r>
              <w:rPr>
                <w:b/>
                <w:sz w:val="16"/>
                <w:szCs w:val="16"/>
              </w:rPr>
              <w:t>357</w:t>
            </w:r>
            <w:r w:rsidR="00F11A66">
              <w:rPr>
                <w:b/>
                <w:sz w:val="16"/>
                <w:szCs w:val="16"/>
              </w:rPr>
              <w:t>.</w:t>
            </w:r>
            <w:r>
              <w:rPr>
                <w:b/>
                <w:sz w:val="16"/>
                <w:szCs w:val="16"/>
              </w:rPr>
              <w:t>662</w:t>
            </w:r>
          </w:p>
        </w:tc>
        <w:tc>
          <w:tcPr>
            <w:tcW w:w="1559" w:type="dxa"/>
            <w:vAlign w:val="center"/>
          </w:tcPr>
          <w:p w:rsidR="00FD5136" w:rsidRPr="00370B0E" w:rsidRDefault="0012073A" w:rsidP="003572A9">
            <w:pPr>
              <w:widowControl w:val="0"/>
              <w:autoSpaceDE w:val="0"/>
              <w:autoSpaceDN w:val="0"/>
              <w:adjustRightInd w:val="0"/>
              <w:jc w:val="center"/>
              <w:rPr>
                <w:b/>
                <w:sz w:val="16"/>
                <w:szCs w:val="16"/>
              </w:rPr>
            </w:pPr>
            <w:r>
              <w:rPr>
                <w:b/>
                <w:sz w:val="16"/>
                <w:szCs w:val="16"/>
              </w:rPr>
              <w:t xml:space="preserve">  14.</w:t>
            </w:r>
            <w:r w:rsidR="003572A9">
              <w:rPr>
                <w:b/>
                <w:sz w:val="16"/>
                <w:szCs w:val="16"/>
              </w:rPr>
              <w:t>717</w:t>
            </w:r>
            <w:r>
              <w:rPr>
                <w:b/>
                <w:sz w:val="16"/>
                <w:szCs w:val="16"/>
              </w:rPr>
              <w:t>.</w:t>
            </w:r>
            <w:r w:rsidR="003572A9">
              <w:rPr>
                <w:b/>
                <w:sz w:val="16"/>
                <w:szCs w:val="16"/>
              </w:rPr>
              <w:t>36</w:t>
            </w:r>
            <w:r w:rsidR="002A7DC4">
              <w:rPr>
                <w:b/>
                <w:sz w:val="16"/>
                <w:szCs w:val="16"/>
              </w:rPr>
              <w:t>4</w:t>
            </w:r>
          </w:p>
        </w:tc>
        <w:tc>
          <w:tcPr>
            <w:tcW w:w="1276" w:type="dxa"/>
            <w:vAlign w:val="center"/>
          </w:tcPr>
          <w:p w:rsidR="00FD5136" w:rsidRPr="00673EA7" w:rsidRDefault="002A7DC4" w:rsidP="00E0525A">
            <w:pPr>
              <w:widowControl w:val="0"/>
              <w:autoSpaceDE w:val="0"/>
              <w:autoSpaceDN w:val="0"/>
              <w:adjustRightInd w:val="0"/>
              <w:rPr>
                <w:b/>
                <w:sz w:val="16"/>
              </w:rPr>
            </w:pPr>
            <w:r>
              <w:rPr>
                <w:b/>
                <w:sz w:val="16"/>
              </w:rPr>
              <w:t xml:space="preserve">         +10,2</w:t>
            </w:r>
          </w:p>
        </w:tc>
        <w:tc>
          <w:tcPr>
            <w:tcW w:w="1417" w:type="dxa"/>
            <w:vAlign w:val="center"/>
          </w:tcPr>
          <w:p w:rsidR="00FD5136" w:rsidRPr="00AD5DAA" w:rsidRDefault="00523DD2" w:rsidP="00523DD2">
            <w:pPr>
              <w:widowControl w:val="0"/>
              <w:autoSpaceDE w:val="0"/>
              <w:autoSpaceDN w:val="0"/>
              <w:adjustRightInd w:val="0"/>
              <w:rPr>
                <w:b/>
                <w:sz w:val="16"/>
                <w:szCs w:val="16"/>
              </w:rPr>
            </w:pPr>
            <w:r>
              <w:rPr>
                <w:b/>
                <w:sz w:val="16"/>
                <w:szCs w:val="16"/>
              </w:rPr>
              <w:t>13</w:t>
            </w:r>
            <w:r w:rsidR="00DB01F7">
              <w:rPr>
                <w:b/>
                <w:sz w:val="16"/>
                <w:szCs w:val="16"/>
              </w:rPr>
              <w:t>.</w:t>
            </w:r>
            <w:r>
              <w:rPr>
                <w:b/>
                <w:sz w:val="16"/>
                <w:szCs w:val="16"/>
              </w:rPr>
              <w:t>233</w:t>
            </w:r>
            <w:r w:rsidR="00DB01F7">
              <w:rPr>
                <w:b/>
                <w:sz w:val="16"/>
                <w:szCs w:val="16"/>
              </w:rPr>
              <w:t>.</w:t>
            </w:r>
            <w:r>
              <w:rPr>
                <w:b/>
                <w:sz w:val="16"/>
                <w:szCs w:val="16"/>
              </w:rPr>
              <w:t>600</w:t>
            </w:r>
          </w:p>
        </w:tc>
        <w:tc>
          <w:tcPr>
            <w:tcW w:w="1134" w:type="dxa"/>
            <w:vAlign w:val="center"/>
          </w:tcPr>
          <w:p w:rsidR="00FD5136" w:rsidRPr="00673EA7" w:rsidRDefault="002A7DC4" w:rsidP="007400B3">
            <w:pPr>
              <w:widowControl w:val="0"/>
              <w:autoSpaceDE w:val="0"/>
              <w:autoSpaceDN w:val="0"/>
              <w:adjustRightInd w:val="0"/>
              <w:rPr>
                <w:b/>
                <w:sz w:val="16"/>
              </w:rPr>
            </w:pPr>
            <w:r>
              <w:rPr>
                <w:b/>
                <w:sz w:val="16"/>
              </w:rPr>
              <w:t xml:space="preserve">       +11,2</w:t>
            </w:r>
          </w:p>
        </w:tc>
      </w:tr>
      <w:tr w:rsidR="00FD5136" w:rsidTr="00FD5136">
        <w:trPr>
          <w:trHeight w:val="315"/>
        </w:trPr>
        <w:tc>
          <w:tcPr>
            <w:tcW w:w="1674" w:type="dxa"/>
            <w:vAlign w:val="center"/>
          </w:tcPr>
          <w:p w:rsidR="00FD5136" w:rsidRDefault="00FD5136" w:rsidP="00C71AB7">
            <w:pPr>
              <w:widowControl w:val="0"/>
              <w:autoSpaceDE w:val="0"/>
              <w:autoSpaceDN w:val="0"/>
              <w:adjustRightInd w:val="0"/>
              <w:rPr>
                <w:sz w:val="16"/>
              </w:rPr>
            </w:pPr>
            <w:r>
              <w:rPr>
                <w:sz w:val="16"/>
              </w:rPr>
              <w:t>Matières et Fournitures</w:t>
            </w:r>
          </w:p>
        </w:tc>
        <w:tc>
          <w:tcPr>
            <w:tcW w:w="1641" w:type="dxa"/>
            <w:vAlign w:val="center"/>
          </w:tcPr>
          <w:p w:rsidR="00FD5136" w:rsidRPr="00370B0E" w:rsidRDefault="00E0525A" w:rsidP="00E0525A">
            <w:pPr>
              <w:widowControl w:val="0"/>
              <w:autoSpaceDE w:val="0"/>
              <w:autoSpaceDN w:val="0"/>
              <w:adjustRightInd w:val="0"/>
              <w:jc w:val="right"/>
              <w:rPr>
                <w:b/>
                <w:sz w:val="16"/>
                <w:szCs w:val="16"/>
              </w:rPr>
            </w:pPr>
            <w:r>
              <w:rPr>
                <w:b/>
                <w:sz w:val="16"/>
                <w:szCs w:val="16"/>
              </w:rPr>
              <w:t>104</w:t>
            </w:r>
            <w:r w:rsidR="00F11A66">
              <w:rPr>
                <w:b/>
                <w:sz w:val="16"/>
                <w:szCs w:val="16"/>
              </w:rPr>
              <w:t>.</w:t>
            </w:r>
            <w:r>
              <w:rPr>
                <w:b/>
                <w:sz w:val="16"/>
                <w:szCs w:val="16"/>
              </w:rPr>
              <w:t>374</w:t>
            </w:r>
            <w:r w:rsidR="00F11A66">
              <w:rPr>
                <w:b/>
                <w:sz w:val="16"/>
                <w:szCs w:val="16"/>
              </w:rPr>
              <w:t>.</w:t>
            </w:r>
            <w:r>
              <w:rPr>
                <w:b/>
                <w:sz w:val="16"/>
                <w:szCs w:val="16"/>
              </w:rPr>
              <w:t>206</w:t>
            </w:r>
          </w:p>
        </w:tc>
        <w:tc>
          <w:tcPr>
            <w:tcW w:w="1559" w:type="dxa"/>
            <w:vAlign w:val="center"/>
          </w:tcPr>
          <w:p w:rsidR="00FD5136" w:rsidRPr="00370B0E" w:rsidRDefault="003572A9" w:rsidP="003572A9">
            <w:pPr>
              <w:widowControl w:val="0"/>
              <w:autoSpaceDE w:val="0"/>
              <w:autoSpaceDN w:val="0"/>
              <w:adjustRightInd w:val="0"/>
              <w:rPr>
                <w:b/>
                <w:sz w:val="16"/>
                <w:szCs w:val="16"/>
              </w:rPr>
            </w:pPr>
            <w:r>
              <w:rPr>
                <w:b/>
                <w:sz w:val="16"/>
                <w:szCs w:val="16"/>
              </w:rPr>
              <w:t>140</w:t>
            </w:r>
            <w:r w:rsidR="0012073A">
              <w:rPr>
                <w:b/>
                <w:sz w:val="16"/>
                <w:szCs w:val="16"/>
              </w:rPr>
              <w:t>.</w:t>
            </w:r>
            <w:r>
              <w:rPr>
                <w:b/>
                <w:sz w:val="16"/>
                <w:szCs w:val="16"/>
              </w:rPr>
              <w:t>622</w:t>
            </w:r>
            <w:r w:rsidR="0012073A">
              <w:rPr>
                <w:b/>
                <w:sz w:val="16"/>
                <w:szCs w:val="16"/>
              </w:rPr>
              <w:t>.</w:t>
            </w:r>
            <w:r>
              <w:rPr>
                <w:b/>
                <w:sz w:val="16"/>
                <w:szCs w:val="16"/>
              </w:rPr>
              <w:t>9</w:t>
            </w:r>
            <w:r w:rsidR="002A7DC4">
              <w:rPr>
                <w:b/>
                <w:sz w:val="16"/>
                <w:szCs w:val="16"/>
              </w:rPr>
              <w:t>31</w:t>
            </w:r>
          </w:p>
        </w:tc>
        <w:tc>
          <w:tcPr>
            <w:tcW w:w="1276" w:type="dxa"/>
            <w:vAlign w:val="center"/>
          </w:tcPr>
          <w:p w:rsidR="00FD5136" w:rsidRPr="00673EA7" w:rsidRDefault="002A7DC4" w:rsidP="007400B3">
            <w:pPr>
              <w:widowControl w:val="0"/>
              <w:autoSpaceDE w:val="0"/>
              <w:autoSpaceDN w:val="0"/>
              <w:adjustRightInd w:val="0"/>
              <w:rPr>
                <w:b/>
                <w:sz w:val="16"/>
              </w:rPr>
            </w:pPr>
            <w:r>
              <w:rPr>
                <w:b/>
                <w:sz w:val="16"/>
              </w:rPr>
              <w:t xml:space="preserve">         +34,7</w:t>
            </w:r>
          </w:p>
        </w:tc>
        <w:tc>
          <w:tcPr>
            <w:tcW w:w="1417" w:type="dxa"/>
            <w:vAlign w:val="center"/>
          </w:tcPr>
          <w:p w:rsidR="00FD5136" w:rsidRPr="00AD5DAA" w:rsidRDefault="00523DD2" w:rsidP="00523DD2">
            <w:pPr>
              <w:widowControl w:val="0"/>
              <w:autoSpaceDE w:val="0"/>
              <w:autoSpaceDN w:val="0"/>
              <w:adjustRightInd w:val="0"/>
              <w:jc w:val="center"/>
              <w:rPr>
                <w:b/>
                <w:sz w:val="16"/>
                <w:szCs w:val="16"/>
              </w:rPr>
            </w:pPr>
            <w:r>
              <w:rPr>
                <w:b/>
                <w:sz w:val="16"/>
                <w:szCs w:val="16"/>
              </w:rPr>
              <w:t>93</w:t>
            </w:r>
            <w:r w:rsidR="00DB01F7">
              <w:rPr>
                <w:b/>
                <w:sz w:val="16"/>
                <w:szCs w:val="16"/>
              </w:rPr>
              <w:t>.</w:t>
            </w:r>
            <w:r>
              <w:rPr>
                <w:b/>
                <w:sz w:val="16"/>
                <w:szCs w:val="16"/>
              </w:rPr>
              <w:t>108</w:t>
            </w:r>
            <w:r w:rsidR="00DB01F7">
              <w:rPr>
                <w:b/>
                <w:sz w:val="16"/>
                <w:szCs w:val="16"/>
              </w:rPr>
              <w:t>.</w:t>
            </w:r>
            <w:r>
              <w:rPr>
                <w:b/>
                <w:sz w:val="16"/>
                <w:szCs w:val="16"/>
              </w:rPr>
              <w:t>900</w:t>
            </w:r>
          </w:p>
        </w:tc>
        <w:tc>
          <w:tcPr>
            <w:tcW w:w="1134" w:type="dxa"/>
            <w:vAlign w:val="center"/>
          </w:tcPr>
          <w:p w:rsidR="00FD5136" w:rsidRPr="00673EA7" w:rsidRDefault="002A7DC4" w:rsidP="007400B3">
            <w:pPr>
              <w:widowControl w:val="0"/>
              <w:autoSpaceDE w:val="0"/>
              <w:autoSpaceDN w:val="0"/>
              <w:adjustRightInd w:val="0"/>
              <w:rPr>
                <w:b/>
                <w:sz w:val="16"/>
              </w:rPr>
            </w:pPr>
            <w:r>
              <w:rPr>
                <w:b/>
                <w:sz w:val="16"/>
              </w:rPr>
              <w:t xml:space="preserve">       +51,0</w:t>
            </w:r>
          </w:p>
        </w:tc>
      </w:tr>
      <w:tr w:rsidR="00FD5136" w:rsidTr="00FD5136">
        <w:trPr>
          <w:trHeight w:val="315"/>
        </w:trPr>
        <w:tc>
          <w:tcPr>
            <w:tcW w:w="1674" w:type="dxa"/>
            <w:vAlign w:val="center"/>
          </w:tcPr>
          <w:p w:rsidR="00FD5136" w:rsidRDefault="00FD5136" w:rsidP="00C71AB7">
            <w:pPr>
              <w:widowControl w:val="0"/>
              <w:autoSpaceDE w:val="0"/>
              <w:autoSpaceDN w:val="0"/>
              <w:adjustRightInd w:val="0"/>
              <w:rPr>
                <w:sz w:val="16"/>
              </w:rPr>
            </w:pPr>
            <w:r>
              <w:rPr>
                <w:sz w:val="16"/>
              </w:rPr>
              <w:t>consommées dont :</w:t>
            </w:r>
          </w:p>
        </w:tc>
        <w:tc>
          <w:tcPr>
            <w:tcW w:w="1641" w:type="dxa"/>
            <w:vAlign w:val="center"/>
          </w:tcPr>
          <w:p w:rsidR="00FD5136" w:rsidRPr="00370B0E" w:rsidRDefault="00FD5136" w:rsidP="00C71AB7">
            <w:pPr>
              <w:widowControl w:val="0"/>
              <w:autoSpaceDE w:val="0"/>
              <w:autoSpaceDN w:val="0"/>
              <w:adjustRightInd w:val="0"/>
              <w:jc w:val="right"/>
              <w:rPr>
                <w:b/>
                <w:sz w:val="16"/>
                <w:szCs w:val="16"/>
              </w:rPr>
            </w:pPr>
          </w:p>
        </w:tc>
        <w:tc>
          <w:tcPr>
            <w:tcW w:w="1559" w:type="dxa"/>
            <w:vAlign w:val="center"/>
          </w:tcPr>
          <w:p w:rsidR="00FD5136" w:rsidRPr="00370B0E" w:rsidRDefault="00FD5136" w:rsidP="00C71AB7">
            <w:pPr>
              <w:widowControl w:val="0"/>
              <w:autoSpaceDE w:val="0"/>
              <w:autoSpaceDN w:val="0"/>
              <w:adjustRightInd w:val="0"/>
              <w:jc w:val="right"/>
              <w:rPr>
                <w:b/>
                <w:sz w:val="16"/>
                <w:szCs w:val="16"/>
              </w:rPr>
            </w:pPr>
          </w:p>
        </w:tc>
        <w:tc>
          <w:tcPr>
            <w:tcW w:w="1276" w:type="dxa"/>
            <w:vAlign w:val="center"/>
          </w:tcPr>
          <w:p w:rsidR="00FD5136" w:rsidRPr="00673EA7" w:rsidRDefault="00FD5136" w:rsidP="00BF7917">
            <w:pPr>
              <w:widowControl w:val="0"/>
              <w:autoSpaceDE w:val="0"/>
              <w:autoSpaceDN w:val="0"/>
              <w:adjustRightInd w:val="0"/>
              <w:jc w:val="center"/>
              <w:rPr>
                <w:b/>
                <w:sz w:val="16"/>
              </w:rPr>
            </w:pPr>
          </w:p>
        </w:tc>
        <w:tc>
          <w:tcPr>
            <w:tcW w:w="1417" w:type="dxa"/>
            <w:vAlign w:val="center"/>
          </w:tcPr>
          <w:p w:rsidR="00FD5136" w:rsidRPr="00AD5DAA" w:rsidRDefault="00FD5136" w:rsidP="00C71AB7">
            <w:pPr>
              <w:widowControl w:val="0"/>
              <w:autoSpaceDE w:val="0"/>
              <w:autoSpaceDN w:val="0"/>
              <w:adjustRightInd w:val="0"/>
              <w:jc w:val="right"/>
              <w:rPr>
                <w:b/>
                <w:sz w:val="16"/>
                <w:szCs w:val="16"/>
              </w:rPr>
            </w:pPr>
          </w:p>
        </w:tc>
        <w:tc>
          <w:tcPr>
            <w:tcW w:w="1134" w:type="dxa"/>
            <w:vAlign w:val="center"/>
          </w:tcPr>
          <w:p w:rsidR="00FD5136" w:rsidRPr="00673EA7" w:rsidRDefault="00FD5136" w:rsidP="00C71AB7">
            <w:pPr>
              <w:widowControl w:val="0"/>
              <w:autoSpaceDE w:val="0"/>
              <w:autoSpaceDN w:val="0"/>
              <w:adjustRightInd w:val="0"/>
              <w:jc w:val="right"/>
              <w:rPr>
                <w:b/>
                <w:sz w:val="16"/>
              </w:rPr>
            </w:pPr>
          </w:p>
        </w:tc>
      </w:tr>
      <w:tr w:rsidR="00FD5136" w:rsidTr="00FD5136">
        <w:trPr>
          <w:trHeight w:val="405"/>
        </w:trPr>
        <w:tc>
          <w:tcPr>
            <w:tcW w:w="1674" w:type="dxa"/>
            <w:tcBorders>
              <w:bottom w:val="single" w:sz="12" w:space="0" w:color="auto"/>
            </w:tcBorders>
            <w:vAlign w:val="center"/>
          </w:tcPr>
          <w:p w:rsidR="00FD5136" w:rsidRDefault="00FD5136" w:rsidP="00C71AB7">
            <w:pPr>
              <w:widowControl w:val="0"/>
              <w:autoSpaceDE w:val="0"/>
              <w:autoSpaceDN w:val="0"/>
              <w:adjustRightInd w:val="0"/>
              <w:rPr>
                <w:sz w:val="16"/>
              </w:rPr>
            </w:pPr>
            <w:r>
              <w:rPr>
                <w:sz w:val="16"/>
              </w:rPr>
              <w:t>Coût des denrées</w:t>
            </w:r>
          </w:p>
        </w:tc>
        <w:tc>
          <w:tcPr>
            <w:tcW w:w="1641" w:type="dxa"/>
            <w:tcBorders>
              <w:bottom w:val="single" w:sz="12" w:space="0" w:color="auto"/>
            </w:tcBorders>
            <w:vAlign w:val="center"/>
          </w:tcPr>
          <w:p w:rsidR="00FD5136" w:rsidRPr="00370B0E" w:rsidRDefault="00E0525A" w:rsidP="00E0525A">
            <w:pPr>
              <w:widowControl w:val="0"/>
              <w:autoSpaceDE w:val="0"/>
              <w:autoSpaceDN w:val="0"/>
              <w:adjustRightInd w:val="0"/>
              <w:jc w:val="right"/>
              <w:rPr>
                <w:b/>
                <w:sz w:val="16"/>
                <w:szCs w:val="16"/>
              </w:rPr>
            </w:pPr>
            <w:r>
              <w:rPr>
                <w:b/>
                <w:sz w:val="16"/>
                <w:szCs w:val="16"/>
              </w:rPr>
              <w:t>55</w:t>
            </w:r>
            <w:r w:rsidR="00F11A66">
              <w:rPr>
                <w:b/>
                <w:sz w:val="16"/>
                <w:szCs w:val="16"/>
              </w:rPr>
              <w:t>.</w:t>
            </w:r>
            <w:r>
              <w:rPr>
                <w:b/>
                <w:sz w:val="16"/>
                <w:szCs w:val="16"/>
              </w:rPr>
              <w:t>988</w:t>
            </w:r>
            <w:r w:rsidR="00F11A66">
              <w:rPr>
                <w:b/>
                <w:sz w:val="16"/>
                <w:szCs w:val="16"/>
              </w:rPr>
              <w:t>.</w:t>
            </w:r>
            <w:r>
              <w:rPr>
                <w:b/>
                <w:sz w:val="16"/>
                <w:szCs w:val="16"/>
              </w:rPr>
              <w:t>801</w:t>
            </w:r>
          </w:p>
        </w:tc>
        <w:tc>
          <w:tcPr>
            <w:tcW w:w="1559" w:type="dxa"/>
            <w:tcBorders>
              <w:bottom w:val="single" w:sz="12" w:space="0" w:color="auto"/>
            </w:tcBorders>
            <w:vAlign w:val="center"/>
          </w:tcPr>
          <w:p w:rsidR="00FD5136" w:rsidRPr="00370B0E" w:rsidRDefault="0012073A" w:rsidP="003572A9">
            <w:pPr>
              <w:widowControl w:val="0"/>
              <w:autoSpaceDE w:val="0"/>
              <w:autoSpaceDN w:val="0"/>
              <w:adjustRightInd w:val="0"/>
              <w:rPr>
                <w:b/>
                <w:sz w:val="16"/>
                <w:szCs w:val="16"/>
              </w:rPr>
            </w:pPr>
            <w:r>
              <w:rPr>
                <w:b/>
                <w:sz w:val="16"/>
                <w:szCs w:val="16"/>
              </w:rPr>
              <w:t>101.</w:t>
            </w:r>
            <w:r w:rsidR="003572A9">
              <w:rPr>
                <w:b/>
                <w:sz w:val="16"/>
                <w:szCs w:val="16"/>
              </w:rPr>
              <w:t>741</w:t>
            </w:r>
            <w:r>
              <w:rPr>
                <w:b/>
                <w:sz w:val="16"/>
                <w:szCs w:val="16"/>
              </w:rPr>
              <w:t>.</w:t>
            </w:r>
            <w:r w:rsidR="003572A9">
              <w:rPr>
                <w:b/>
                <w:sz w:val="16"/>
                <w:szCs w:val="16"/>
              </w:rPr>
              <w:t>064</w:t>
            </w:r>
          </w:p>
        </w:tc>
        <w:tc>
          <w:tcPr>
            <w:tcW w:w="1276" w:type="dxa"/>
            <w:tcBorders>
              <w:bottom w:val="single" w:sz="12" w:space="0" w:color="auto"/>
            </w:tcBorders>
            <w:vAlign w:val="center"/>
          </w:tcPr>
          <w:p w:rsidR="00FD5136" w:rsidRPr="00673EA7" w:rsidRDefault="002A7DC4" w:rsidP="007400B3">
            <w:pPr>
              <w:widowControl w:val="0"/>
              <w:autoSpaceDE w:val="0"/>
              <w:autoSpaceDN w:val="0"/>
              <w:adjustRightInd w:val="0"/>
              <w:rPr>
                <w:b/>
                <w:sz w:val="16"/>
              </w:rPr>
            </w:pPr>
            <w:r>
              <w:rPr>
                <w:b/>
                <w:sz w:val="16"/>
              </w:rPr>
              <w:t xml:space="preserve">        +81,7</w:t>
            </w:r>
          </w:p>
        </w:tc>
        <w:tc>
          <w:tcPr>
            <w:tcW w:w="1417" w:type="dxa"/>
            <w:tcBorders>
              <w:bottom w:val="single" w:sz="12" w:space="0" w:color="auto"/>
            </w:tcBorders>
            <w:vAlign w:val="center"/>
          </w:tcPr>
          <w:p w:rsidR="00FD5136" w:rsidRPr="00AD5DAA" w:rsidRDefault="00B1715F" w:rsidP="007400B3">
            <w:pPr>
              <w:widowControl w:val="0"/>
              <w:autoSpaceDE w:val="0"/>
              <w:autoSpaceDN w:val="0"/>
              <w:adjustRightInd w:val="0"/>
              <w:rPr>
                <w:b/>
                <w:sz w:val="16"/>
                <w:szCs w:val="16"/>
              </w:rPr>
            </w:pPr>
            <w:r>
              <w:rPr>
                <w:b/>
                <w:sz w:val="16"/>
                <w:szCs w:val="16"/>
              </w:rPr>
              <w:t>57.925.000</w:t>
            </w:r>
          </w:p>
        </w:tc>
        <w:tc>
          <w:tcPr>
            <w:tcW w:w="1134" w:type="dxa"/>
            <w:tcBorders>
              <w:bottom w:val="single" w:sz="12" w:space="0" w:color="auto"/>
            </w:tcBorders>
            <w:vAlign w:val="center"/>
          </w:tcPr>
          <w:p w:rsidR="00FD5136" w:rsidRPr="00673EA7" w:rsidRDefault="002A7DC4" w:rsidP="007400B3">
            <w:pPr>
              <w:widowControl w:val="0"/>
              <w:autoSpaceDE w:val="0"/>
              <w:autoSpaceDN w:val="0"/>
              <w:adjustRightInd w:val="0"/>
              <w:rPr>
                <w:b/>
                <w:sz w:val="16"/>
              </w:rPr>
            </w:pPr>
            <w:r>
              <w:rPr>
                <w:b/>
                <w:sz w:val="16"/>
              </w:rPr>
              <w:t xml:space="preserve">       +76,6</w:t>
            </w:r>
          </w:p>
        </w:tc>
      </w:tr>
      <w:tr w:rsidR="00FD5136" w:rsidTr="00FD5136">
        <w:trPr>
          <w:trHeight w:val="420"/>
        </w:trPr>
        <w:tc>
          <w:tcPr>
            <w:tcW w:w="1674" w:type="dxa"/>
            <w:shd w:val="clear" w:color="auto" w:fill="00FFFF"/>
            <w:vAlign w:val="center"/>
          </w:tcPr>
          <w:p w:rsidR="00FD5136" w:rsidRDefault="00FD5136" w:rsidP="004D6DCA">
            <w:pPr>
              <w:widowControl w:val="0"/>
              <w:autoSpaceDE w:val="0"/>
              <w:autoSpaceDN w:val="0"/>
              <w:adjustRightInd w:val="0"/>
              <w:rPr>
                <w:b/>
                <w:sz w:val="16"/>
              </w:rPr>
            </w:pPr>
            <w:r>
              <w:rPr>
                <w:b/>
                <w:sz w:val="16"/>
              </w:rPr>
              <w:t>Services &amp; autres Services externes</w:t>
            </w:r>
          </w:p>
        </w:tc>
        <w:tc>
          <w:tcPr>
            <w:tcW w:w="1641" w:type="dxa"/>
            <w:shd w:val="clear" w:color="auto" w:fill="00FFFF"/>
            <w:vAlign w:val="center"/>
          </w:tcPr>
          <w:p w:rsidR="00FD5136" w:rsidRPr="00D73D0F" w:rsidRDefault="00E0525A" w:rsidP="00E0525A">
            <w:pPr>
              <w:widowControl w:val="0"/>
              <w:autoSpaceDE w:val="0"/>
              <w:autoSpaceDN w:val="0"/>
              <w:adjustRightInd w:val="0"/>
              <w:jc w:val="right"/>
              <w:rPr>
                <w:b/>
                <w:sz w:val="16"/>
                <w:szCs w:val="16"/>
              </w:rPr>
            </w:pPr>
            <w:r>
              <w:rPr>
                <w:b/>
                <w:sz w:val="16"/>
                <w:szCs w:val="16"/>
              </w:rPr>
              <w:t>43</w:t>
            </w:r>
            <w:r w:rsidR="00F11A66">
              <w:rPr>
                <w:b/>
                <w:sz w:val="16"/>
                <w:szCs w:val="16"/>
              </w:rPr>
              <w:t>.</w:t>
            </w:r>
            <w:r>
              <w:rPr>
                <w:b/>
                <w:sz w:val="16"/>
                <w:szCs w:val="16"/>
              </w:rPr>
              <w:t>805</w:t>
            </w:r>
            <w:r w:rsidR="00F11A66">
              <w:rPr>
                <w:b/>
                <w:sz w:val="16"/>
                <w:szCs w:val="16"/>
              </w:rPr>
              <w:t>.</w:t>
            </w:r>
            <w:r>
              <w:rPr>
                <w:b/>
                <w:sz w:val="16"/>
                <w:szCs w:val="16"/>
              </w:rPr>
              <w:t>039</w:t>
            </w:r>
          </w:p>
        </w:tc>
        <w:tc>
          <w:tcPr>
            <w:tcW w:w="1559" w:type="dxa"/>
            <w:shd w:val="clear" w:color="auto" w:fill="00FFFF"/>
            <w:vAlign w:val="center"/>
          </w:tcPr>
          <w:p w:rsidR="00FD5136" w:rsidRPr="00D73D0F" w:rsidRDefault="003572A9" w:rsidP="003572A9">
            <w:pPr>
              <w:widowControl w:val="0"/>
              <w:autoSpaceDE w:val="0"/>
              <w:autoSpaceDN w:val="0"/>
              <w:adjustRightInd w:val="0"/>
              <w:rPr>
                <w:b/>
                <w:sz w:val="16"/>
                <w:szCs w:val="16"/>
              </w:rPr>
            </w:pPr>
            <w:r>
              <w:rPr>
                <w:b/>
                <w:sz w:val="16"/>
                <w:szCs w:val="16"/>
              </w:rPr>
              <w:t>57</w:t>
            </w:r>
            <w:r w:rsidR="0012073A">
              <w:rPr>
                <w:b/>
                <w:sz w:val="16"/>
                <w:szCs w:val="16"/>
              </w:rPr>
              <w:t>.</w:t>
            </w:r>
            <w:r>
              <w:rPr>
                <w:b/>
                <w:sz w:val="16"/>
                <w:szCs w:val="16"/>
              </w:rPr>
              <w:t>830</w:t>
            </w:r>
            <w:r w:rsidR="0012073A">
              <w:rPr>
                <w:b/>
                <w:sz w:val="16"/>
                <w:szCs w:val="16"/>
              </w:rPr>
              <w:t>.</w:t>
            </w:r>
            <w:r>
              <w:rPr>
                <w:b/>
                <w:sz w:val="16"/>
                <w:szCs w:val="16"/>
              </w:rPr>
              <w:t>00</w:t>
            </w:r>
            <w:r w:rsidR="002A7DC4">
              <w:rPr>
                <w:b/>
                <w:sz w:val="16"/>
                <w:szCs w:val="16"/>
              </w:rPr>
              <w:t>3</w:t>
            </w:r>
          </w:p>
        </w:tc>
        <w:tc>
          <w:tcPr>
            <w:tcW w:w="1276" w:type="dxa"/>
            <w:shd w:val="clear" w:color="auto" w:fill="00FFFF"/>
            <w:vAlign w:val="center"/>
          </w:tcPr>
          <w:p w:rsidR="00FD5136" w:rsidRPr="00673EA7" w:rsidRDefault="002A7DC4" w:rsidP="007400B3">
            <w:pPr>
              <w:widowControl w:val="0"/>
              <w:autoSpaceDE w:val="0"/>
              <w:autoSpaceDN w:val="0"/>
              <w:adjustRightInd w:val="0"/>
              <w:rPr>
                <w:b/>
                <w:sz w:val="16"/>
              </w:rPr>
            </w:pPr>
            <w:r>
              <w:rPr>
                <w:b/>
                <w:sz w:val="16"/>
              </w:rPr>
              <w:t xml:space="preserve">        +32,0</w:t>
            </w:r>
          </w:p>
        </w:tc>
        <w:tc>
          <w:tcPr>
            <w:tcW w:w="1417" w:type="dxa"/>
            <w:tcBorders>
              <w:bottom w:val="single" w:sz="12" w:space="0" w:color="auto"/>
            </w:tcBorders>
            <w:shd w:val="clear" w:color="auto" w:fill="00FFFF"/>
            <w:vAlign w:val="center"/>
          </w:tcPr>
          <w:p w:rsidR="00FD5136" w:rsidRPr="00AD5DAA" w:rsidRDefault="00523DD2" w:rsidP="00523DD2">
            <w:pPr>
              <w:widowControl w:val="0"/>
              <w:autoSpaceDE w:val="0"/>
              <w:autoSpaceDN w:val="0"/>
              <w:adjustRightInd w:val="0"/>
              <w:jc w:val="center"/>
              <w:rPr>
                <w:b/>
                <w:sz w:val="16"/>
                <w:szCs w:val="16"/>
              </w:rPr>
            </w:pPr>
            <w:r>
              <w:rPr>
                <w:b/>
                <w:sz w:val="16"/>
                <w:szCs w:val="16"/>
              </w:rPr>
              <w:t xml:space="preserve"> 87</w:t>
            </w:r>
            <w:r w:rsidR="00DB01F7">
              <w:rPr>
                <w:b/>
                <w:sz w:val="16"/>
                <w:szCs w:val="16"/>
              </w:rPr>
              <w:t>.</w:t>
            </w:r>
            <w:r>
              <w:rPr>
                <w:b/>
                <w:sz w:val="16"/>
                <w:szCs w:val="16"/>
              </w:rPr>
              <w:t>323</w:t>
            </w:r>
            <w:r w:rsidR="00DB01F7">
              <w:rPr>
                <w:b/>
                <w:sz w:val="16"/>
                <w:szCs w:val="16"/>
              </w:rPr>
              <w:t>.</w:t>
            </w:r>
            <w:r>
              <w:rPr>
                <w:b/>
                <w:sz w:val="16"/>
                <w:szCs w:val="16"/>
              </w:rPr>
              <w:t>400</w:t>
            </w:r>
          </w:p>
        </w:tc>
        <w:tc>
          <w:tcPr>
            <w:tcW w:w="1134" w:type="dxa"/>
            <w:tcBorders>
              <w:bottom w:val="single" w:sz="12" w:space="0" w:color="auto"/>
            </w:tcBorders>
            <w:shd w:val="clear" w:color="auto" w:fill="00FFFF"/>
            <w:vAlign w:val="center"/>
          </w:tcPr>
          <w:p w:rsidR="00FD5136" w:rsidRPr="00673EA7" w:rsidRDefault="002A7DC4" w:rsidP="007400B3">
            <w:pPr>
              <w:widowControl w:val="0"/>
              <w:autoSpaceDE w:val="0"/>
              <w:autoSpaceDN w:val="0"/>
              <w:adjustRightInd w:val="0"/>
              <w:rPr>
                <w:b/>
                <w:sz w:val="16"/>
              </w:rPr>
            </w:pPr>
            <w:r>
              <w:rPr>
                <w:b/>
                <w:sz w:val="16"/>
              </w:rPr>
              <w:t xml:space="preserve">        -33,8</w:t>
            </w:r>
          </w:p>
        </w:tc>
      </w:tr>
      <w:tr w:rsidR="00FD5136" w:rsidTr="00FD5136">
        <w:trPr>
          <w:trHeight w:val="315"/>
        </w:trPr>
        <w:tc>
          <w:tcPr>
            <w:tcW w:w="1674" w:type="dxa"/>
            <w:shd w:val="clear" w:color="auto" w:fill="00FFFF"/>
            <w:vAlign w:val="center"/>
          </w:tcPr>
          <w:p w:rsidR="00FD5136" w:rsidRDefault="00FD5136" w:rsidP="004D6DCA">
            <w:pPr>
              <w:widowControl w:val="0"/>
              <w:autoSpaceDE w:val="0"/>
              <w:autoSpaceDN w:val="0"/>
              <w:adjustRightInd w:val="0"/>
              <w:rPr>
                <w:sz w:val="16"/>
              </w:rPr>
            </w:pPr>
            <w:r>
              <w:rPr>
                <w:sz w:val="16"/>
              </w:rPr>
              <w:t>Charges du personnel</w:t>
            </w:r>
          </w:p>
        </w:tc>
        <w:tc>
          <w:tcPr>
            <w:tcW w:w="1641" w:type="dxa"/>
            <w:shd w:val="clear" w:color="auto" w:fill="00FFFF"/>
            <w:vAlign w:val="center"/>
          </w:tcPr>
          <w:p w:rsidR="00FD5136" w:rsidRPr="00D73D0F" w:rsidRDefault="00E0525A" w:rsidP="00E0525A">
            <w:pPr>
              <w:widowControl w:val="0"/>
              <w:autoSpaceDE w:val="0"/>
              <w:autoSpaceDN w:val="0"/>
              <w:adjustRightInd w:val="0"/>
              <w:jc w:val="right"/>
              <w:rPr>
                <w:b/>
                <w:sz w:val="16"/>
                <w:szCs w:val="16"/>
              </w:rPr>
            </w:pPr>
            <w:r>
              <w:rPr>
                <w:b/>
                <w:sz w:val="16"/>
                <w:szCs w:val="16"/>
              </w:rPr>
              <w:t>265</w:t>
            </w:r>
            <w:r w:rsidR="00F11A66">
              <w:rPr>
                <w:b/>
                <w:sz w:val="16"/>
                <w:szCs w:val="16"/>
              </w:rPr>
              <w:t>.</w:t>
            </w:r>
            <w:r>
              <w:rPr>
                <w:b/>
                <w:sz w:val="16"/>
                <w:szCs w:val="16"/>
              </w:rPr>
              <w:t>218</w:t>
            </w:r>
            <w:r w:rsidR="00F11A66">
              <w:rPr>
                <w:b/>
                <w:sz w:val="16"/>
                <w:szCs w:val="16"/>
              </w:rPr>
              <w:t>.</w:t>
            </w:r>
            <w:r w:rsidR="00914370">
              <w:rPr>
                <w:b/>
                <w:sz w:val="16"/>
                <w:szCs w:val="16"/>
              </w:rPr>
              <w:t>047</w:t>
            </w:r>
          </w:p>
        </w:tc>
        <w:tc>
          <w:tcPr>
            <w:tcW w:w="1559" w:type="dxa"/>
            <w:shd w:val="clear" w:color="auto" w:fill="00FFFF"/>
            <w:vAlign w:val="center"/>
          </w:tcPr>
          <w:p w:rsidR="00FD5136" w:rsidRPr="00D73D0F" w:rsidRDefault="003572A9" w:rsidP="003572A9">
            <w:pPr>
              <w:widowControl w:val="0"/>
              <w:autoSpaceDE w:val="0"/>
              <w:autoSpaceDN w:val="0"/>
              <w:adjustRightInd w:val="0"/>
              <w:jc w:val="center"/>
              <w:rPr>
                <w:b/>
                <w:sz w:val="16"/>
                <w:szCs w:val="16"/>
              </w:rPr>
            </w:pPr>
            <w:r>
              <w:rPr>
                <w:b/>
                <w:sz w:val="16"/>
                <w:szCs w:val="16"/>
              </w:rPr>
              <w:t>306</w:t>
            </w:r>
            <w:r w:rsidR="003B36C7">
              <w:rPr>
                <w:b/>
                <w:sz w:val="16"/>
                <w:szCs w:val="16"/>
              </w:rPr>
              <w:t>.</w:t>
            </w:r>
            <w:r>
              <w:rPr>
                <w:b/>
                <w:sz w:val="16"/>
                <w:szCs w:val="16"/>
              </w:rPr>
              <w:t>140</w:t>
            </w:r>
            <w:r w:rsidR="003B36C7">
              <w:rPr>
                <w:b/>
                <w:sz w:val="16"/>
                <w:szCs w:val="16"/>
              </w:rPr>
              <w:t>.</w:t>
            </w:r>
            <w:r>
              <w:rPr>
                <w:b/>
                <w:sz w:val="16"/>
                <w:szCs w:val="16"/>
              </w:rPr>
              <w:t>018</w:t>
            </w:r>
          </w:p>
        </w:tc>
        <w:tc>
          <w:tcPr>
            <w:tcW w:w="1276" w:type="dxa"/>
            <w:shd w:val="clear" w:color="auto" w:fill="00FFFF"/>
            <w:vAlign w:val="center"/>
          </w:tcPr>
          <w:p w:rsidR="00FD5136" w:rsidRPr="00673EA7" w:rsidRDefault="002A7DC4" w:rsidP="00395633">
            <w:pPr>
              <w:widowControl w:val="0"/>
              <w:autoSpaceDE w:val="0"/>
              <w:autoSpaceDN w:val="0"/>
              <w:adjustRightInd w:val="0"/>
              <w:rPr>
                <w:b/>
                <w:sz w:val="16"/>
              </w:rPr>
            </w:pPr>
            <w:r>
              <w:rPr>
                <w:b/>
                <w:sz w:val="16"/>
              </w:rPr>
              <w:t xml:space="preserve">        +15,4</w:t>
            </w:r>
          </w:p>
        </w:tc>
        <w:tc>
          <w:tcPr>
            <w:tcW w:w="1417" w:type="dxa"/>
            <w:shd w:val="clear" w:color="auto" w:fill="00FFFF"/>
            <w:vAlign w:val="center"/>
          </w:tcPr>
          <w:p w:rsidR="00FD5136" w:rsidRPr="00AD5DAA" w:rsidRDefault="00523DD2" w:rsidP="00523DD2">
            <w:pPr>
              <w:widowControl w:val="0"/>
              <w:autoSpaceDE w:val="0"/>
              <w:autoSpaceDN w:val="0"/>
              <w:adjustRightInd w:val="0"/>
              <w:jc w:val="center"/>
              <w:rPr>
                <w:b/>
                <w:sz w:val="16"/>
                <w:szCs w:val="16"/>
              </w:rPr>
            </w:pPr>
            <w:r>
              <w:rPr>
                <w:b/>
                <w:sz w:val="16"/>
                <w:szCs w:val="16"/>
              </w:rPr>
              <w:t xml:space="preserve"> 264</w:t>
            </w:r>
            <w:r w:rsidR="00DB01F7">
              <w:rPr>
                <w:b/>
                <w:sz w:val="16"/>
                <w:szCs w:val="16"/>
              </w:rPr>
              <w:t>.</w:t>
            </w:r>
            <w:r>
              <w:rPr>
                <w:b/>
                <w:sz w:val="16"/>
                <w:szCs w:val="16"/>
              </w:rPr>
              <w:t>812</w:t>
            </w:r>
            <w:r w:rsidR="00DB01F7">
              <w:rPr>
                <w:b/>
                <w:sz w:val="16"/>
                <w:szCs w:val="16"/>
              </w:rPr>
              <w:t>.</w:t>
            </w:r>
            <w:r>
              <w:rPr>
                <w:b/>
                <w:sz w:val="16"/>
                <w:szCs w:val="16"/>
              </w:rPr>
              <w:t>400</w:t>
            </w:r>
          </w:p>
        </w:tc>
        <w:tc>
          <w:tcPr>
            <w:tcW w:w="1134" w:type="dxa"/>
            <w:shd w:val="clear" w:color="auto" w:fill="00FFFF"/>
            <w:vAlign w:val="center"/>
          </w:tcPr>
          <w:p w:rsidR="00FD5136" w:rsidRPr="00673EA7" w:rsidRDefault="002A7DC4" w:rsidP="00395633">
            <w:pPr>
              <w:widowControl w:val="0"/>
              <w:autoSpaceDE w:val="0"/>
              <w:autoSpaceDN w:val="0"/>
              <w:adjustRightInd w:val="0"/>
              <w:rPr>
                <w:b/>
                <w:sz w:val="16"/>
              </w:rPr>
            </w:pPr>
            <w:r>
              <w:rPr>
                <w:b/>
                <w:sz w:val="16"/>
              </w:rPr>
              <w:t xml:space="preserve">       +</w:t>
            </w:r>
            <w:r w:rsidR="0033778B">
              <w:rPr>
                <w:b/>
                <w:sz w:val="16"/>
              </w:rPr>
              <w:t>15,6</w:t>
            </w:r>
          </w:p>
        </w:tc>
      </w:tr>
      <w:tr w:rsidR="00FD5136" w:rsidTr="00FD5136">
        <w:trPr>
          <w:trHeight w:val="360"/>
        </w:trPr>
        <w:tc>
          <w:tcPr>
            <w:tcW w:w="1674" w:type="dxa"/>
            <w:shd w:val="clear" w:color="auto" w:fill="00FFFF"/>
            <w:vAlign w:val="center"/>
          </w:tcPr>
          <w:p w:rsidR="00FD5136" w:rsidRDefault="00FD5136" w:rsidP="004D6DCA">
            <w:pPr>
              <w:widowControl w:val="0"/>
              <w:autoSpaceDE w:val="0"/>
              <w:autoSpaceDN w:val="0"/>
              <w:adjustRightInd w:val="0"/>
              <w:rPr>
                <w:sz w:val="16"/>
              </w:rPr>
            </w:pPr>
            <w:r>
              <w:rPr>
                <w:sz w:val="16"/>
              </w:rPr>
              <w:t>Impôts et taxes</w:t>
            </w:r>
          </w:p>
        </w:tc>
        <w:tc>
          <w:tcPr>
            <w:tcW w:w="1641" w:type="dxa"/>
            <w:shd w:val="clear" w:color="auto" w:fill="00FFFF"/>
            <w:vAlign w:val="center"/>
          </w:tcPr>
          <w:p w:rsidR="00FD5136" w:rsidRPr="00370B0E" w:rsidRDefault="00E0525A" w:rsidP="00E0525A">
            <w:pPr>
              <w:widowControl w:val="0"/>
              <w:autoSpaceDE w:val="0"/>
              <w:autoSpaceDN w:val="0"/>
              <w:adjustRightInd w:val="0"/>
              <w:jc w:val="right"/>
              <w:rPr>
                <w:b/>
                <w:sz w:val="16"/>
                <w:szCs w:val="16"/>
              </w:rPr>
            </w:pPr>
            <w:r>
              <w:rPr>
                <w:b/>
                <w:sz w:val="16"/>
                <w:szCs w:val="16"/>
              </w:rPr>
              <w:t>5</w:t>
            </w:r>
            <w:r w:rsidR="00F11A66">
              <w:rPr>
                <w:b/>
                <w:sz w:val="16"/>
                <w:szCs w:val="16"/>
              </w:rPr>
              <w:t>.</w:t>
            </w:r>
            <w:r>
              <w:rPr>
                <w:b/>
                <w:sz w:val="16"/>
                <w:szCs w:val="16"/>
              </w:rPr>
              <w:t>250</w:t>
            </w:r>
            <w:r w:rsidR="00F11A66">
              <w:rPr>
                <w:b/>
                <w:sz w:val="16"/>
                <w:szCs w:val="16"/>
              </w:rPr>
              <w:t>.</w:t>
            </w:r>
            <w:r>
              <w:rPr>
                <w:b/>
                <w:sz w:val="16"/>
                <w:szCs w:val="16"/>
              </w:rPr>
              <w:t>097</w:t>
            </w:r>
          </w:p>
        </w:tc>
        <w:tc>
          <w:tcPr>
            <w:tcW w:w="1559" w:type="dxa"/>
            <w:shd w:val="clear" w:color="auto" w:fill="00FFFF"/>
            <w:vAlign w:val="center"/>
          </w:tcPr>
          <w:p w:rsidR="00FD5136" w:rsidRPr="00370B0E" w:rsidRDefault="003B36C7" w:rsidP="003572A9">
            <w:pPr>
              <w:widowControl w:val="0"/>
              <w:autoSpaceDE w:val="0"/>
              <w:autoSpaceDN w:val="0"/>
              <w:adjustRightInd w:val="0"/>
              <w:rPr>
                <w:b/>
                <w:sz w:val="16"/>
                <w:szCs w:val="16"/>
              </w:rPr>
            </w:pPr>
            <w:r>
              <w:rPr>
                <w:b/>
                <w:sz w:val="16"/>
                <w:szCs w:val="16"/>
              </w:rPr>
              <w:t>16.</w:t>
            </w:r>
            <w:r w:rsidR="003572A9">
              <w:rPr>
                <w:b/>
                <w:sz w:val="16"/>
                <w:szCs w:val="16"/>
              </w:rPr>
              <w:t>728</w:t>
            </w:r>
            <w:r>
              <w:rPr>
                <w:b/>
                <w:sz w:val="16"/>
                <w:szCs w:val="16"/>
              </w:rPr>
              <w:t>.</w:t>
            </w:r>
            <w:r w:rsidR="003572A9">
              <w:rPr>
                <w:b/>
                <w:sz w:val="16"/>
                <w:szCs w:val="16"/>
              </w:rPr>
              <w:t>322</w:t>
            </w:r>
          </w:p>
        </w:tc>
        <w:tc>
          <w:tcPr>
            <w:tcW w:w="1276" w:type="dxa"/>
            <w:shd w:val="clear" w:color="auto" w:fill="00FFFF"/>
            <w:vAlign w:val="center"/>
          </w:tcPr>
          <w:p w:rsidR="00FD5136" w:rsidRPr="00673EA7" w:rsidRDefault="0033778B" w:rsidP="00395633">
            <w:pPr>
              <w:widowControl w:val="0"/>
              <w:autoSpaceDE w:val="0"/>
              <w:autoSpaceDN w:val="0"/>
              <w:adjustRightInd w:val="0"/>
              <w:rPr>
                <w:b/>
                <w:sz w:val="16"/>
              </w:rPr>
            </w:pPr>
            <w:r>
              <w:rPr>
                <w:b/>
                <w:sz w:val="16"/>
              </w:rPr>
              <w:t xml:space="preserve">      +218,6</w:t>
            </w:r>
          </w:p>
        </w:tc>
        <w:tc>
          <w:tcPr>
            <w:tcW w:w="1417" w:type="dxa"/>
            <w:shd w:val="clear" w:color="auto" w:fill="00FFFF"/>
            <w:vAlign w:val="center"/>
          </w:tcPr>
          <w:p w:rsidR="00FD5136" w:rsidRPr="00AD5DAA" w:rsidRDefault="00523DD2" w:rsidP="00523DD2">
            <w:pPr>
              <w:widowControl w:val="0"/>
              <w:autoSpaceDE w:val="0"/>
              <w:autoSpaceDN w:val="0"/>
              <w:adjustRightInd w:val="0"/>
              <w:jc w:val="center"/>
              <w:rPr>
                <w:b/>
                <w:sz w:val="16"/>
                <w:szCs w:val="16"/>
              </w:rPr>
            </w:pPr>
            <w:r>
              <w:rPr>
                <w:b/>
                <w:sz w:val="16"/>
                <w:szCs w:val="16"/>
              </w:rPr>
              <w:t xml:space="preserve"> 16</w:t>
            </w:r>
            <w:r w:rsidR="00DB01F7">
              <w:rPr>
                <w:b/>
                <w:sz w:val="16"/>
                <w:szCs w:val="16"/>
              </w:rPr>
              <w:t>.</w:t>
            </w:r>
            <w:r>
              <w:rPr>
                <w:b/>
                <w:sz w:val="16"/>
                <w:szCs w:val="16"/>
              </w:rPr>
              <w:t>379</w:t>
            </w:r>
            <w:r w:rsidR="00DB01F7">
              <w:rPr>
                <w:b/>
                <w:sz w:val="16"/>
                <w:szCs w:val="16"/>
              </w:rPr>
              <w:t>.</w:t>
            </w:r>
            <w:r>
              <w:rPr>
                <w:b/>
                <w:sz w:val="16"/>
                <w:szCs w:val="16"/>
              </w:rPr>
              <w:t>200</w:t>
            </w:r>
          </w:p>
        </w:tc>
        <w:tc>
          <w:tcPr>
            <w:tcW w:w="1134" w:type="dxa"/>
            <w:shd w:val="clear" w:color="auto" w:fill="00FFFF"/>
            <w:vAlign w:val="center"/>
          </w:tcPr>
          <w:p w:rsidR="00FD5136" w:rsidRPr="00673EA7" w:rsidRDefault="0033778B" w:rsidP="00395633">
            <w:pPr>
              <w:widowControl w:val="0"/>
              <w:autoSpaceDE w:val="0"/>
              <w:autoSpaceDN w:val="0"/>
              <w:adjustRightInd w:val="0"/>
              <w:rPr>
                <w:b/>
                <w:sz w:val="16"/>
              </w:rPr>
            </w:pPr>
            <w:r>
              <w:rPr>
                <w:b/>
                <w:sz w:val="16"/>
              </w:rPr>
              <w:t xml:space="preserve">         +2,1</w:t>
            </w:r>
          </w:p>
        </w:tc>
      </w:tr>
      <w:tr w:rsidR="00FD5136" w:rsidTr="00FD5136">
        <w:trPr>
          <w:trHeight w:val="315"/>
        </w:trPr>
        <w:tc>
          <w:tcPr>
            <w:tcW w:w="1674" w:type="dxa"/>
            <w:shd w:val="clear" w:color="auto" w:fill="00FFFF"/>
            <w:vAlign w:val="center"/>
          </w:tcPr>
          <w:p w:rsidR="00FD5136" w:rsidRDefault="00FD5136" w:rsidP="004D6DCA">
            <w:pPr>
              <w:widowControl w:val="0"/>
              <w:autoSpaceDE w:val="0"/>
              <w:autoSpaceDN w:val="0"/>
              <w:adjustRightInd w:val="0"/>
              <w:rPr>
                <w:sz w:val="16"/>
              </w:rPr>
            </w:pPr>
            <w:r>
              <w:rPr>
                <w:sz w:val="16"/>
              </w:rPr>
              <w:t>Charges financières</w:t>
            </w:r>
          </w:p>
        </w:tc>
        <w:tc>
          <w:tcPr>
            <w:tcW w:w="1641" w:type="dxa"/>
            <w:shd w:val="clear" w:color="auto" w:fill="00FFFF"/>
            <w:vAlign w:val="center"/>
          </w:tcPr>
          <w:p w:rsidR="00FD5136" w:rsidRPr="00D73D0F" w:rsidRDefault="00E0525A" w:rsidP="00E0525A">
            <w:pPr>
              <w:widowControl w:val="0"/>
              <w:autoSpaceDE w:val="0"/>
              <w:autoSpaceDN w:val="0"/>
              <w:adjustRightInd w:val="0"/>
              <w:jc w:val="right"/>
              <w:rPr>
                <w:b/>
                <w:sz w:val="16"/>
                <w:szCs w:val="16"/>
              </w:rPr>
            </w:pPr>
            <w:r>
              <w:rPr>
                <w:b/>
                <w:sz w:val="16"/>
                <w:szCs w:val="16"/>
              </w:rPr>
              <w:t>2</w:t>
            </w:r>
            <w:r w:rsidR="003965DE">
              <w:rPr>
                <w:b/>
                <w:sz w:val="16"/>
                <w:szCs w:val="16"/>
              </w:rPr>
              <w:t>.</w:t>
            </w:r>
            <w:r>
              <w:rPr>
                <w:b/>
                <w:sz w:val="16"/>
                <w:szCs w:val="16"/>
              </w:rPr>
              <w:t>478</w:t>
            </w:r>
            <w:r w:rsidR="003965DE">
              <w:rPr>
                <w:b/>
                <w:sz w:val="16"/>
                <w:szCs w:val="16"/>
              </w:rPr>
              <w:t>.</w:t>
            </w:r>
            <w:r>
              <w:rPr>
                <w:b/>
                <w:sz w:val="16"/>
                <w:szCs w:val="16"/>
              </w:rPr>
              <w:t>392</w:t>
            </w:r>
          </w:p>
        </w:tc>
        <w:tc>
          <w:tcPr>
            <w:tcW w:w="1559" w:type="dxa"/>
            <w:shd w:val="clear" w:color="auto" w:fill="00FFFF"/>
            <w:vAlign w:val="center"/>
          </w:tcPr>
          <w:p w:rsidR="00FD5136" w:rsidRPr="00D73D0F" w:rsidRDefault="003572A9" w:rsidP="003572A9">
            <w:pPr>
              <w:widowControl w:val="0"/>
              <w:autoSpaceDE w:val="0"/>
              <w:autoSpaceDN w:val="0"/>
              <w:adjustRightInd w:val="0"/>
              <w:rPr>
                <w:b/>
                <w:sz w:val="16"/>
                <w:szCs w:val="16"/>
              </w:rPr>
            </w:pPr>
            <w:r>
              <w:rPr>
                <w:b/>
                <w:sz w:val="16"/>
                <w:szCs w:val="16"/>
              </w:rPr>
              <w:t>10</w:t>
            </w:r>
            <w:r w:rsidR="003B36C7">
              <w:rPr>
                <w:b/>
                <w:sz w:val="16"/>
                <w:szCs w:val="16"/>
              </w:rPr>
              <w:t>.</w:t>
            </w:r>
            <w:r>
              <w:rPr>
                <w:b/>
                <w:sz w:val="16"/>
                <w:szCs w:val="16"/>
              </w:rPr>
              <w:t>410</w:t>
            </w:r>
            <w:r w:rsidR="003B36C7">
              <w:rPr>
                <w:b/>
                <w:sz w:val="16"/>
                <w:szCs w:val="16"/>
              </w:rPr>
              <w:t>.</w:t>
            </w:r>
            <w:r>
              <w:rPr>
                <w:b/>
                <w:sz w:val="16"/>
                <w:szCs w:val="16"/>
              </w:rPr>
              <w:t>152</w:t>
            </w:r>
          </w:p>
        </w:tc>
        <w:tc>
          <w:tcPr>
            <w:tcW w:w="1276" w:type="dxa"/>
            <w:shd w:val="clear" w:color="auto" w:fill="00FFFF"/>
            <w:vAlign w:val="center"/>
          </w:tcPr>
          <w:p w:rsidR="00FD5136" w:rsidRPr="00A02BCE" w:rsidRDefault="0033778B" w:rsidP="00395633">
            <w:pPr>
              <w:widowControl w:val="0"/>
              <w:autoSpaceDE w:val="0"/>
              <w:autoSpaceDN w:val="0"/>
              <w:adjustRightInd w:val="0"/>
              <w:rPr>
                <w:b/>
                <w:sz w:val="16"/>
                <w:szCs w:val="16"/>
              </w:rPr>
            </w:pPr>
            <w:r>
              <w:rPr>
                <w:b/>
                <w:sz w:val="16"/>
                <w:szCs w:val="16"/>
              </w:rPr>
              <w:t xml:space="preserve">      +320,0</w:t>
            </w:r>
          </w:p>
        </w:tc>
        <w:tc>
          <w:tcPr>
            <w:tcW w:w="1417" w:type="dxa"/>
            <w:shd w:val="clear" w:color="auto" w:fill="00FFFF"/>
            <w:vAlign w:val="center"/>
          </w:tcPr>
          <w:p w:rsidR="00FD5136" w:rsidRPr="00AD5DAA" w:rsidRDefault="00523DD2" w:rsidP="00523DD2">
            <w:pPr>
              <w:widowControl w:val="0"/>
              <w:autoSpaceDE w:val="0"/>
              <w:autoSpaceDN w:val="0"/>
              <w:adjustRightInd w:val="0"/>
              <w:jc w:val="center"/>
              <w:rPr>
                <w:b/>
                <w:sz w:val="16"/>
                <w:szCs w:val="16"/>
              </w:rPr>
            </w:pPr>
            <w:r>
              <w:rPr>
                <w:b/>
                <w:sz w:val="16"/>
                <w:szCs w:val="16"/>
              </w:rPr>
              <w:t>3</w:t>
            </w:r>
            <w:r w:rsidR="00DB01F7">
              <w:rPr>
                <w:b/>
                <w:sz w:val="16"/>
                <w:szCs w:val="16"/>
              </w:rPr>
              <w:t>.</w:t>
            </w:r>
            <w:r>
              <w:rPr>
                <w:b/>
                <w:sz w:val="16"/>
                <w:szCs w:val="16"/>
              </w:rPr>
              <w:t>000</w:t>
            </w:r>
            <w:r w:rsidR="00DB01F7">
              <w:rPr>
                <w:b/>
                <w:sz w:val="16"/>
                <w:szCs w:val="16"/>
              </w:rPr>
              <w:t>.000</w:t>
            </w:r>
          </w:p>
        </w:tc>
        <w:tc>
          <w:tcPr>
            <w:tcW w:w="1134" w:type="dxa"/>
            <w:shd w:val="clear" w:color="auto" w:fill="00FFFF"/>
            <w:vAlign w:val="center"/>
          </w:tcPr>
          <w:p w:rsidR="00FD5136" w:rsidRPr="00673EA7" w:rsidRDefault="0033778B" w:rsidP="00395633">
            <w:pPr>
              <w:widowControl w:val="0"/>
              <w:autoSpaceDE w:val="0"/>
              <w:autoSpaceDN w:val="0"/>
              <w:adjustRightInd w:val="0"/>
              <w:rPr>
                <w:b/>
                <w:sz w:val="16"/>
              </w:rPr>
            </w:pPr>
            <w:r>
              <w:rPr>
                <w:b/>
                <w:sz w:val="16"/>
              </w:rPr>
              <w:t xml:space="preserve">     +247,0</w:t>
            </w:r>
          </w:p>
        </w:tc>
      </w:tr>
      <w:tr w:rsidR="00FD5136" w:rsidTr="00FD5136">
        <w:trPr>
          <w:trHeight w:val="375"/>
        </w:trPr>
        <w:tc>
          <w:tcPr>
            <w:tcW w:w="1674" w:type="dxa"/>
            <w:shd w:val="clear" w:color="auto" w:fill="00FFFF"/>
            <w:vAlign w:val="center"/>
          </w:tcPr>
          <w:p w:rsidR="00FD5136" w:rsidRDefault="00FD5136" w:rsidP="00BF7917">
            <w:pPr>
              <w:widowControl w:val="0"/>
              <w:autoSpaceDE w:val="0"/>
              <w:autoSpaceDN w:val="0"/>
              <w:adjustRightInd w:val="0"/>
              <w:rPr>
                <w:sz w:val="16"/>
              </w:rPr>
            </w:pPr>
            <w:r>
              <w:rPr>
                <w:sz w:val="16"/>
              </w:rPr>
              <w:t>Autres charges opérationnelles</w:t>
            </w:r>
          </w:p>
        </w:tc>
        <w:tc>
          <w:tcPr>
            <w:tcW w:w="1641" w:type="dxa"/>
            <w:shd w:val="clear" w:color="auto" w:fill="00FFFF"/>
            <w:vAlign w:val="center"/>
          </w:tcPr>
          <w:p w:rsidR="00FD5136" w:rsidRPr="00370B0E" w:rsidRDefault="00E0525A" w:rsidP="00E0525A">
            <w:pPr>
              <w:widowControl w:val="0"/>
              <w:autoSpaceDE w:val="0"/>
              <w:autoSpaceDN w:val="0"/>
              <w:adjustRightInd w:val="0"/>
              <w:jc w:val="right"/>
              <w:rPr>
                <w:b/>
                <w:sz w:val="16"/>
                <w:szCs w:val="16"/>
              </w:rPr>
            </w:pPr>
            <w:r>
              <w:rPr>
                <w:b/>
                <w:sz w:val="16"/>
                <w:szCs w:val="16"/>
              </w:rPr>
              <w:t>22</w:t>
            </w:r>
            <w:r w:rsidR="003965DE">
              <w:rPr>
                <w:b/>
                <w:sz w:val="16"/>
                <w:szCs w:val="16"/>
              </w:rPr>
              <w:t>.</w:t>
            </w:r>
            <w:r>
              <w:rPr>
                <w:b/>
                <w:sz w:val="16"/>
                <w:szCs w:val="16"/>
              </w:rPr>
              <w:t>636</w:t>
            </w:r>
            <w:r w:rsidR="003965DE">
              <w:rPr>
                <w:b/>
                <w:sz w:val="16"/>
                <w:szCs w:val="16"/>
              </w:rPr>
              <w:t>.</w:t>
            </w:r>
            <w:r>
              <w:rPr>
                <w:b/>
                <w:sz w:val="16"/>
                <w:szCs w:val="16"/>
              </w:rPr>
              <w:t>152</w:t>
            </w:r>
          </w:p>
        </w:tc>
        <w:tc>
          <w:tcPr>
            <w:tcW w:w="1559" w:type="dxa"/>
            <w:shd w:val="clear" w:color="auto" w:fill="00FFFF"/>
            <w:vAlign w:val="center"/>
          </w:tcPr>
          <w:p w:rsidR="00FD5136" w:rsidRPr="00370B0E" w:rsidRDefault="003572A9" w:rsidP="003572A9">
            <w:pPr>
              <w:widowControl w:val="0"/>
              <w:autoSpaceDE w:val="0"/>
              <w:autoSpaceDN w:val="0"/>
              <w:adjustRightInd w:val="0"/>
              <w:rPr>
                <w:b/>
                <w:sz w:val="16"/>
                <w:szCs w:val="16"/>
              </w:rPr>
            </w:pPr>
            <w:r>
              <w:rPr>
                <w:b/>
                <w:sz w:val="16"/>
              </w:rPr>
              <w:t>46</w:t>
            </w:r>
            <w:r w:rsidR="003B36C7">
              <w:rPr>
                <w:b/>
                <w:sz w:val="16"/>
              </w:rPr>
              <w:t>.</w:t>
            </w:r>
            <w:r>
              <w:rPr>
                <w:b/>
                <w:sz w:val="16"/>
              </w:rPr>
              <w:t>091</w:t>
            </w:r>
            <w:r w:rsidR="003B36C7">
              <w:rPr>
                <w:b/>
                <w:sz w:val="16"/>
              </w:rPr>
              <w:t>.</w:t>
            </w:r>
            <w:r>
              <w:rPr>
                <w:b/>
                <w:sz w:val="16"/>
              </w:rPr>
              <w:t>644</w:t>
            </w:r>
          </w:p>
        </w:tc>
        <w:tc>
          <w:tcPr>
            <w:tcW w:w="1276" w:type="dxa"/>
            <w:shd w:val="clear" w:color="auto" w:fill="00FFFF"/>
            <w:vAlign w:val="center"/>
          </w:tcPr>
          <w:p w:rsidR="00FD5136" w:rsidRPr="00673EA7" w:rsidRDefault="0033778B" w:rsidP="00395633">
            <w:pPr>
              <w:widowControl w:val="0"/>
              <w:autoSpaceDE w:val="0"/>
              <w:autoSpaceDN w:val="0"/>
              <w:adjustRightInd w:val="0"/>
              <w:rPr>
                <w:b/>
                <w:sz w:val="16"/>
              </w:rPr>
            </w:pPr>
            <w:r>
              <w:rPr>
                <w:b/>
                <w:sz w:val="16"/>
              </w:rPr>
              <w:t xml:space="preserve">     +103,6</w:t>
            </w:r>
          </w:p>
        </w:tc>
        <w:tc>
          <w:tcPr>
            <w:tcW w:w="1417" w:type="dxa"/>
            <w:shd w:val="clear" w:color="auto" w:fill="00FFFF"/>
            <w:vAlign w:val="center"/>
          </w:tcPr>
          <w:p w:rsidR="00FD5136" w:rsidRPr="00AD5DAA" w:rsidRDefault="00523DD2" w:rsidP="00523DD2">
            <w:pPr>
              <w:widowControl w:val="0"/>
              <w:autoSpaceDE w:val="0"/>
              <w:autoSpaceDN w:val="0"/>
              <w:adjustRightInd w:val="0"/>
              <w:rPr>
                <w:b/>
                <w:sz w:val="16"/>
                <w:szCs w:val="16"/>
              </w:rPr>
            </w:pPr>
            <w:r>
              <w:rPr>
                <w:b/>
                <w:sz w:val="16"/>
                <w:szCs w:val="16"/>
              </w:rPr>
              <w:t>12</w:t>
            </w:r>
            <w:r w:rsidR="00DB01F7">
              <w:rPr>
                <w:b/>
                <w:sz w:val="16"/>
                <w:szCs w:val="16"/>
              </w:rPr>
              <w:t>.</w:t>
            </w:r>
            <w:r>
              <w:rPr>
                <w:b/>
                <w:sz w:val="16"/>
                <w:szCs w:val="16"/>
              </w:rPr>
              <w:t>840</w:t>
            </w:r>
            <w:r w:rsidR="00DB01F7">
              <w:rPr>
                <w:b/>
                <w:sz w:val="16"/>
                <w:szCs w:val="16"/>
              </w:rPr>
              <w:t>.</w:t>
            </w:r>
            <w:r>
              <w:rPr>
                <w:b/>
                <w:sz w:val="16"/>
                <w:szCs w:val="16"/>
              </w:rPr>
              <w:t>400</w:t>
            </w:r>
          </w:p>
        </w:tc>
        <w:tc>
          <w:tcPr>
            <w:tcW w:w="1134" w:type="dxa"/>
            <w:shd w:val="clear" w:color="auto" w:fill="00FFFF"/>
            <w:vAlign w:val="center"/>
          </w:tcPr>
          <w:p w:rsidR="00FD5136" w:rsidRPr="00673EA7" w:rsidRDefault="0033778B" w:rsidP="00395633">
            <w:pPr>
              <w:widowControl w:val="0"/>
              <w:autoSpaceDE w:val="0"/>
              <w:autoSpaceDN w:val="0"/>
              <w:adjustRightInd w:val="0"/>
              <w:rPr>
                <w:b/>
                <w:sz w:val="16"/>
              </w:rPr>
            </w:pPr>
            <w:r>
              <w:rPr>
                <w:b/>
                <w:sz w:val="16"/>
              </w:rPr>
              <w:t xml:space="preserve">     +259,0</w:t>
            </w:r>
          </w:p>
        </w:tc>
      </w:tr>
      <w:tr w:rsidR="00FD5136" w:rsidTr="00FD5136">
        <w:trPr>
          <w:trHeight w:val="435"/>
        </w:trPr>
        <w:tc>
          <w:tcPr>
            <w:tcW w:w="1674" w:type="dxa"/>
            <w:shd w:val="clear" w:color="auto" w:fill="00FFFF"/>
            <w:vAlign w:val="center"/>
          </w:tcPr>
          <w:p w:rsidR="00FD5136" w:rsidRDefault="00FD5136" w:rsidP="00BF7917">
            <w:pPr>
              <w:widowControl w:val="0"/>
              <w:autoSpaceDE w:val="0"/>
              <w:autoSpaceDN w:val="0"/>
              <w:adjustRightInd w:val="0"/>
              <w:rPr>
                <w:sz w:val="16"/>
              </w:rPr>
            </w:pPr>
            <w:r>
              <w:rPr>
                <w:sz w:val="16"/>
              </w:rPr>
              <w:t>Dotations aux amortissements &amp;</w:t>
            </w:r>
            <w:proofErr w:type="spellStart"/>
            <w:r>
              <w:rPr>
                <w:sz w:val="16"/>
              </w:rPr>
              <w:t>prov</w:t>
            </w:r>
            <w:proofErr w:type="spellEnd"/>
          </w:p>
        </w:tc>
        <w:tc>
          <w:tcPr>
            <w:tcW w:w="1641" w:type="dxa"/>
            <w:shd w:val="clear" w:color="auto" w:fill="00FFFF"/>
            <w:vAlign w:val="center"/>
          </w:tcPr>
          <w:p w:rsidR="00FD5136" w:rsidRPr="00370B0E" w:rsidRDefault="00E0525A" w:rsidP="00E0525A">
            <w:pPr>
              <w:widowControl w:val="0"/>
              <w:autoSpaceDE w:val="0"/>
              <w:autoSpaceDN w:val="0"/>
              <w:adjustRightInd w:val="0"/>
              <w:jc w:val="right"/>
              <w:rPr>
                <w:b/>
                <w:sz w:val="16"/>
                <w:szCs w:val="16"/>
              </w:rPr>
            </w:pPr>
            <w:r>
              <w:rPr>
                <w:b/>
                <w:sz w:val="16"/>
                <w:szCs w:val="16"/>
              </w:rPr>
              <w:t>296</w:t>
            </w:r>
            <w:r w:rsidR="003965DE">
              <w:rPr>
                <w:b/>
                <w:sz w:val="16"/>
                <w:szCs w:val="16"/>
              </w:rPr>
              <w:t>.</w:t>
            </w:r>
            <w:r>
              <w:rPr>
                <w:b/>
                <w:sz w:val="16"/>
                <w:szCs w:val="16"/>
              </w:rPr>
              <w:t>463</w:t>
            </w:r>
            <w:r w:rsidR="003965DE">
              <w:rPr>
                <w:b/>
                <w:sz w:val="16"/>
                <w:szCs w:val="16"/>
              </w:rPr>
              <w:t>.</w:t>
            </w:r>
            <w:r>
              <w:rPr>
                <w:b/>
                <w:sz w:val="16"/>
                <w:szCs w:val="16"/>
              </w:rPr>
              <w:t>252</w:t>
            </w:r>
          </w:p>
        </w:tc>
        <w:tc>
          <w:tcPr>
            <w:tcW w:w="1559" w:type="dxa"/>
            <w:shd w:val="clear" w:color="auto" w:fill="00FFFF"/>
            <w:vAlign w:val="center"/>
          </w:tcPr>
          <w:p w:rsidR="00FD5136" w:rsidRPr="00370B0E" w:rsidRDefault="003572A9" w:rsidP="003572A9">
            <w:pPr>
              <w:widowControl w:val="0"/>
              <w:autoSpaceDE w:val="0"/>
              <w:autoSpaceDN w:val="0"/>
              <w:adjustRightInd w:val="0"/>
              <w:rPr>
                <w:b/>
                <w:sz w:val="16"/>
                <w:szCs w:val="16"/>
              </w:rPr>
            </w:pPr>
            <w:r>
              <w:rPr>
                <w:b/>
                <w:sz w:val="16"/>
                <w:szCs w:val="16"/>
              </w:rPr>
              <w:t>310</w:t>
            </w:r>
            <w:r w:rsidR="003B36C7">
              <w:rPr>
                <w:b/>
                <w:sz w:val="16"/>
                <w:szCs w:val="16"/>
              </w:rPr>
              <w:t>.</w:t>
            </w:r>
            <w:r>
              <w:rPr>
                <w:b/>
                <w:sz w:val="16"/>
                <w:szCs w:val="16"/>
              </w:rPr>
              <w:t>113</w:t>
            </w:r>
            <w:r w:rsidR="003B36C7">
              <w:rPr>
                <w:b/>
                <w:sz w:val="16"/>
                <w:szCs w:val="16"/>
              </w:rPr>
              <w:t>.</w:t>
            </w:r>
            <w:r>
              <w:rPr>
                <w:b/>
                <w:sz w:val="16"/>
                <w:szCs w:val="16"/>
              </w:rPr>
              <w:t>48</w:t>
            </w:r>
            <w:r w:rsidR="002A7DC4">
              <w:rPr>
                <w:b/>
                <w:sz w:val="16"/>
                <w:szCs w:val="16"/>
              </w:rPr>
              <w:t>2</w:t>
            </w:r>
          </w:p>
        </w:tc>
        <w:tc>
          <w:tcPr>
            <w:tcW w:w="1276" w:type="dxa"/>
            <w:shd w:val="clear" w:color="auto" w:fill="00FFFF"/>
            <w:vAlign w:val="center"/>
          </w:tcPr>
          <w:p w:rsidR="00FD5136" w:rsidRPr="00673EA7" w:rsidRDefault="0033778B" w:rsidP="00395633">
            <w:pPr>
              <w:widowControl w:val="0"/>
              <w:autoSpaceDE w:val="0"/>
              <w:autoSpaceDN w:val="0"/>
              <w:adjustRightInd w:val="0"/>
              <w:rPr>
                <w:b/>
                <w:sz w:val="16"/>
              </w:rPr>
            </w:pPr>
            <w:r>
              <w:rPr>
                <w:b/>
                <w:sz w:val="16"/>
              </w:rPr>
              <w:t xml:space="preserve">         +4,6</w:t>
            </w:r>
          </w:p>
        </w:tc>
        <w:tc>
          <w:tcPr>
            <w:tcW w:w="1417" w:type="dxa"/>
            <w:tcBorders>
              <w:bottom w:val="single" w:sz="12" w:space="0" w:color="auto"/>
            </w:tcBorders>
            <w:shd w:val="clear" w:color="auto" w:fill="00FFFF"/>
            <w:vAlign w:val="center"/>
          </w:tcPr>
          <w:p w:rsidR="00FD5136" w:rsidRPr="00AD5DAA" w:rsidRDefault="00523DD2" w:rsidP="00523DD2">
            <w:pPr>
              <w:widowControl w:val="0"/>
              <w:autoSpaceDE w:val="0"/>
              <w:autoSpaceDN w:val="0"/>
              <w:adjustRightInd w:val="0"/>
              <w:jc w:val="center"/>
              <w:rPr>
                <w:b/>
                <w:sz w:val="16"/>
                <w:szCs w:val="16"/>
              </w:rPr>
            </w:pPr>
            <w:r>
              <w:rPr>
                <w:b/>
                <w:sz w:val="16"/>
                <w:szCs w:val="16"/>
              </w:rPr>
              <w:t xml:space="preserve">  302</w:t>
            </w:r>
            <w:r w:rsidR="00DB01F7">
              <w:rPr>
                <w:b/>
                <w:sz w:val="16"/>
                <w:szCs w:val="16"/>
              </w:rPr>
              <w:t>.</w:t>
            </w:r>
            <w:r>
              <w:rPr>
                <w:b/>
                <w:sz w:val="16"/>
                <w:szCs w:val="16"/>
              </w:rPr>
              <w:t>342</w:t>
            </w:r>
            <w:r w:rsidR="00DB01F7">
              <w:rPr>
                <w:b/>
                <w:sz w:val="16"/>
                <w:szCs w:val="16"/>
              </w:rPr>
              <w:t>.</w:t>
            </w:r>
            <w:r>
              <w:rPr>
                <w:b/>
                <w:sz w:val="16"/>
                <w:szCs w:val="16"/>
              </w:rPr>
              <w:t>100</w:t>
            </w:r>
          </w:p>
        </w:tc>
        <w:tc>
          <w:tcPr>
            <w:tcW w:w="1134" w:type="dxa"/>
            <w:tcBorders>
              <w:bottom w:val="single" w:sz="12" w:space="0" w:color="auto"/>
            </w:tcBorders>
            <w:shd w:val="clear" w:color="auto" w:fill="00FFFF"/>
            <w:vAlign w:val="center"/>
          </w:tcPr>
          <w:p w:rsidR="00FD5136" w:rsidRPr="00673EA7" w:rsidRDefault="0033778B" w:rsidP="00395633">
            <w:pPr>
              <w:widowControl w:val="0"/>
              <w:autoSpaceDE w:val="0"/>
              <w:autoSpaceDN w:val="0"/>
              <w:adjustRightInd w:val="0"/>
              <w:rPr>
                <w:b/>
                <w:sz w:val="16"/>
              </w:rPr>
            </w:pPr>
            <w:r>
              <w:rPr>
                <w:b/>
                <w:sz w:val="16"/>
              </w:rPr>
              <w:t xml:space="preserve">         +2,5</w:t>
            </w:r>
          </w:p>
        </w:tc>
      </w:tr>
      <w:tr w:rsidR="00FD5136" w:rsidTr="00FD5136">
        <w:trPr>
          <w:trHeight w:val="150"/>
        </w:trPr>
        <w:tc>
          <w:tcPr>
            <w:tcW w:w="1674" w:type="dxa"/>
            <w:tcBorders>
              <w:bottom w:val="single" w:sz="12" w:space="0" w:color="auto"/>
            </w:tcBorders>
            <w:vAlign w:val="center"/>
          </w:tcPr>
          <w:p w:rsidR="00FD5136" w:rsidRDefault="00FD5136" w:rsidP="00BF7917">
            <w:pPr>
              <w:widowControl w:val="0"/>
              <w:autoSpaceDE w:val="0"/>
              <w:autoSpaceDN w:val="0"/>
              <w:adjustRightInd w:val="0"/>
              <w:rPr>
                <w:sz w:val="16"/>
              </w:rPr>
            </w:pPr>
          </w:p>
        </w:tc>
        <w:tc>
          <w:tcPr>
            <w:tcW w:w="1641" w:type="dxa"/>
            <w:tcBorders>
              <w:bottom w:val="single" w:sz="12" w:space="0" w:color="auto"/>
            </w:tcBorders>
            <w:vAlign w:val="center"/>
          </w:tcPr>
          <w:p w:rsidR="00FD5136" w:rsidRPr="00370B0E" w:rsidRDefault="00FD5136" w:rsidP="00BF7917">
            <w:pPr>
              <w:widowControl w:val="0"/>
              <w:autoSpaceDE w:val="0"/>
              <w:autoSpaceDN w:val="0"/>
              <w:adjustRightInd w:val="0"/>
              <w:jc w:val="right"/>
              <w:rPr>
                <w:b/>
                <w:sz w:val="16"/>
                <w:szCs w:val="16"/>
              </w:rPr>
            </w:pPr>
          </w:p>
        </w:tc>
        <w:tc>
          <w:tcPr>
            <w:tcW w:w="1559" w:type="dxa"/>
            <w:tcBorders>
              <w:bottom w:val="single" w:sz="12" w:space="0" w:color="auto"/>
            </w:tcBorders>
            <w:vAlign w:val="center"/>
          </w:tcPr>
          <w:p w:rsidR="00FD5136" w:rsidRPr="00370B0E" w:rsidRDefault="00FD5136" w:rsidP="00BF7917">
            <w:pPr>
              <w:widowControl w:val="0"/>
              <w:autoSpaceDE w:val="0"/>
              <w:autoSpaceDN w:val="0"/>
              <w:adjustRightInd w:val="0"/>
              <w:jc w:val="right"/>
              <w:rPr>
                <w:b/>
                <w:sz w:val="16"/>
                <w:szCs w:val="16"/>
              </w:rPr>
            </w:pPr>
          </w:p>
        </w:tc>
        <w:tc>
          <w:tcPr>
            <w:tcW w:w="1276" w:type="dxa"/>
            <w:tcBorders>
              <w:bottom w:val="single" w:sz="12" w:space="0" w:color="auto"/>
            </w:tcBorders>
            <w:vAlign w:val="center"/>
          </w:tcPr>
          <w:p w:rsidR="00FD5136" w:rsidRPr="00673EA7" w:rsidRDefault="00FD5136" w:rsidP="00BF7917">
            <w:pPr>
              <w:widowControl w:val="0"/>
              <w:autoSpaceDE w:val="0"/>
              <w:autoSpaceDN w:val="0"/>
              <w:adjustRightInd w:val="0"/>
              <w:jc w:val="right"/>
              <w:rPr>
                <w:b/>
                <w:sz w:val="16"/>
              </w:rPr>
            </w:pPr>
          </w:p>
        </w:tc>
        <w:tc>
          <w:tcPr>
            <w:tcW w:w="1417" w:type="dxa"/>
            <w:tcBorders>
              <w:bottom w:val="single" w:sz="12" w:space="0" w:color="auto"/>
            </w:tcBorders>
            <w:vAlign w:val="center"/>
          </w:tcPr>
          <w:p w:rsidR="00FD5136" w:rsidRPr="00AD5DAA" w:rsidRDefault="00FD5136" w:rsidP="00BF7917">
            <w:pPr>
              <w:widowControl w:val="0"/>
              <w:autoSpaceDE w:val="0"/>
              <w:autoSpaceDN w:val="0"/>
              <w:adjustRightInd w:val="0"/>
              <w:jc w:val="right"/>
              <w:rPr>
                <w:b/>
                <w:sz w:val="16"/>
                <w:szCs w:val="16"/>
              </w:rPr>
            </w:pPr>
          </w:p>
        </w:tc>
        <w:tc>
          <w:tcPr>
            <w:tcW w:w="1134" w:type="dxa"/>
            <w:tcBorders>
              <w:bottom w:val="single" w:sz="12" w:space="0" w:color="auto"/>
            </w:tcBorders>
            <w:vAlign w:val="center"/>
          </w:tcPr>
          <w:p w:rsidR="00FD5136" w:rsidRPr="00673EA7" w:rsidRDefault="00FD5136" w:rsidP="00BF7917">
            <w:pPr>
              <w:widowControl w:val="0"/>
              <w:autoSpaceDE w:val="0"/>
              <w:autoSpaceDN w:val="0"/>
              <w:adjustRightInd w:val="0"/>
              <w:jc w:val="right"/>
              <w:rPr>
                <w:b/>
                <w:sz w:val="16"/>
              </w:rPr>
            </w:pPr>
          </w:p>
        </w:tc>
      </w:tr>
      <w:tr w:rsidR="00FD5136" w:rsidTr="00FD5136">
        <w:trPr>
          <w:trHeight w:val="510"/>
        </w:trPr>
        <w:tc>
          <w:tcPr>
            <w:tcW w:w="1674" w:type="dxa"/>
            <w:shd w:val="clear" w:color="auto" w:fill="00FFFF"/>
            <w:vAlign w:val="center"/>
          </w:tcPr>
          <w:p w:rsidR="00FD5136" w:rsidRDefault="00FD5136" w:rsidP="00BF7917">
            <w:pPr>
              <w:widowControl w:val="0"/>
              <w:autoSpaceDE w:val="0"/>
              <w:autoSpaceDN w:val="0"/>
              <w:adjustRightInd w:val="0"/>
              <w:rPr>
                <w:b/>
                <w:sz w:val="16"/>
              </w:rPr>
            </w:pPr>
            <w:r>
              <w:rPr>
                <w:b/>
                <w:sz w:val="16"/>
              </w:rPr>
              <w:t xml:space="preserve">Total des charges exploitation </w:t>
            </w:r>
          </w:p>
        </w:tc>
        <w:tc>
          <w:tcPr>
            <w:tcW w:w="1641" w:type="dxa"/>
            <w:shd w:val="clear" w:color="auto" w:fill="00FFFF"/>
            <w:vAlign w:val="center"/>
          </w:tcPr>
          <w:p w:rsidR="00FD5136" w:rsidRPr="00370B0E" w:rsidRDefault="00E0525A" w:rsidP="00E0525A">
            <w:pPr>
              <w:widowControl w:val="0"/>
              <w:autoSpaceDE w:val="0"/>
              <w:autoSpaceDN w:val="0"/>
              <w:adjustRightInd w:val="0"/>
              <w:jc w:val="right"/>
              <w:rPr>
                <w:b/>
                <w:sz w:val="16"/>
                <w:szCs w:val="16"/>
              </w:rPr>
            </w:pPr>
            <w:r>
              <w:rPr>
                <w:b/>
                <w:sz w:val="16"/>
                <w:szCs w:val="16"/>
              </w:rPr>
              <w:t>753</w:t>
            </w:r>
            <w:r w:rsidR="0023266F">
              <w:rPr>
                <w:b/>
                <w:sz w:val="16"/>
                <w:szCs w:val="16"/>
              </w:rPr>
              <w:t>.</w:t>
            </w:r>
            <w:r>
              <w:rPr>
                <w:b/>
                <w:sz w:val="16"/>
                <w:szCs w:val="16"/>
              </w:rPr>
              <w:t>582</w:t>
            </w:r>
            <w:r w:rsidR="0023266F">
              <w:rPr>
                <w:b/>
                <w:sz w:val="16"/>
                <w:szCs w:val="16"/>
              </w:rPr>
              <w:t>.</w:t>
            </w:r>
            <w:r>
              <w:rPr>
                <w:b/>
                <w:sz w:val="16"/>
                <w:szCs w:val="16"/>
              </w:rPr>
              <w:t>847</w:t>
            </w:r>
          </w:p>
        </w:tc>
        <w:tc>
          <w:tcPr>
            <w:tcW w:w="1559" w:type="dxa"/>
            <w:shd w:val="clear" w:color="auto" w:fill="00FFFF"/>
            <w:vAlign w:val="center"/>
          </w:tcPr>
          <w:p w:rsidR="00FD5136" w:rsidRPr="00370B0E" w:rsidRDefault="003572A9" w:rsidP="003572A9">
            <w:pPr>
              <w:widowControl w:val="0"/>
              <w:autoSpaceDE w:val="0"/>
              <w:autoSpaceDN w:val="0"/>
              <w:adjustRightInd w:val="0"/>
              <w:rPr>
                <w:b/>
                <w:sz w:val="16"/>
                <w:szCs w:val="16"/>
              </w:rPr>
            </w:pPr>
            <w:r>
              <w:rPr>
                <w:b/>
                <w:sz w:val="16"/>
                <w:szCs w:val="16"/>
              </w:rPr>
              <w:t>902</w:t>
            </w:r>
            <w:r w:rsidR="003B36C7">
              <w:rPr>
                <w:b/>
                <w:sz w:val="16"/>
                <w:szCs w:val="16"/>
              </w:rPr>
              <w:t>.</w:t>
            </w:r>
            <w:r>
              <w:rPr>
                <w:b/>
                <w:sz w:val="16"/>
                <w:szCs w:val="16"/>
              </w:rPr>
              <w:t>653</w:t>
            </w:r>
            <w:r w:rsidR="003B36C7">
              <w:rPr>
                <w:b/>
                <w:sz w:val="16"/>
                <w:szCs w:val="16"/>
              </w:rPr>
              <w:t>.</w:t>
            </w:r>
            <w:r>
              <w:rPr>
                <w:b/>
                <w:sz w:val="16"/>
                <w:szCs w:val="16"/>
              </w:rPr>
              <w:t>916</w:t>
            </w:r>
          </w:p>
        </w:tc>
        <w:tc>
          <w:tcPr>
            <w:tcW w:w="1276" w:type="dxa"/>
            <w:shd w:val="clear" w:color="auto" w:fill="00FFFF"/>
            <w:vAlign w:val="center"/>
          </w:tcPr>
          <w:p w:rsidR="00FD5136" w:rsidRPr="00673EA7" w:rsidRDefault="0033778B" w:rsidP="00395633">
            <w:pPr>
              <w:widowControl w:val="0"/>
              <w:autoSpaceDE w:val="0"/>
              <w:autoSpaceDN w:val="0"/>
              <w:adjustRightInd w:val="0"/>
              <w:rPr>
                <w:b/>
                <w:sz w:val="16"/>
              </w:rPr>
            </w:pPr>
            <w:r>
              <w:rPr>
                <w:b/>
                <w:sz w:val="16"/>
              </w:rPr>
              <w:t xml:space="preserve">       +19,8</w:t>
            </w:r>
          </w:p>
        </w:tc>
        <w:tc>
          <w:tcPr>
            <w:tcW w:w="1417" w:type="dxa"/>
            <w:tcBorders>
              <w:bottom w:val="single" w:sz="12" w:space="0" w:color="auto"/>
            </w:tcBorders>
            <w:shd w:val="clear" w:color="auto" w:fill="00FFFF"/>
            <w:vAlign w:val="center"/>
          </w:tcPr>
          <w:p w:rsidR="00FD5136" w:rsidRPr="00AD5DAA" w:rsidRDefault="00523DD2" w:rsidP="00523DD2">
            <w:pPr>
              <w:widowControl w:val="0"/>
              <w:autoSpaceDE w:val="0"/>
              <w:autoSpaceDN w:val="0"/>
              <w:adjustRightInd w:val="0"/>
              <w:jc w:val="center"/>
              <w:rPr>
                <w:b/>
                <w:sz w:val="16"/>
                <w:szCs w:val="16"/>
              </w:rPr>
            </w:pPr>
            <w:r>
              <w:rPr>
                <w:b/>
                <w:sz w:val="16"/>
                <w:szCs w:val="16"/>
              </w:rPr>
              <w:t xml:space="preserve"> 793</w:t>
            </w:r>
            <w:r w:rsidR="00DB01F7">
              <w:rPr>
                <w:b/>
                <w:sz w:val="16"/>
                <w:szCs w:val="16"/>
              </w:rPr>
              <w:t>.</w:t>
            </w:r>
            <w:r>
              <w:rPr>
                <w:b/>
                <w:sz w:val="16"/>
                <w:szCs w:val="16"/>
              </w:rPr>
              <w:t>040</w:t>
            </w:r>
            <w:r w:rsidR="00DB01F7">
              <w:rPr>
                <w:b/>
                <w:sz w:val="16"/>
                <w:szCs w:val="16"/>
              </w:rPr>
              <w:t>.</w:t>
            </w:r>
            <w:r>
              <w:rPr>
                <w:b/>
                <w:sz w:val="16"/>
                <w:szCs w:val="16"/>
              </w:rPr>
              <w:t>000</w:t>
            </w:r>
          </w:p>
        </w:tc>
        <w:tc>
          <w:tcPr>
            <w:tcW w:w="1134" w:type="dxa"/>
            <w:tcBorders>
              <w:bottom w:val="single" w:sz="12" w:space="0" w:color="auto"/>
            </w:tcBorders>
            <w:shd w:val="clear" w:color="auto" w:fill="00FFFF"/>
            <w:vAlign w:val="center"/>
          </w:tcPr>
          <w:p w:rsidR="00FD5136" w:rsidRPr="00673EA7" w:rsidRDefault="0033778B" w:rsidP="00395633">
            <w:pPr>
              <w:widowControl w:val="0"/>
              <w:autoSpaceDE w:val="0"/>
              <w:autoSpaceDN w:val="0"/>
              <w:adjustRightInd w:val="0"/>
              <w:rPr>
                <w:b/>
                <w:sz w:val="16"/>
              </w:rPr>
            </w:pPr>
            <w:r>
              <w:rPr>
                <w:b/>
                <w:sz w:val="16"/>
              </w:rPr>
              <w:t xml:space="preserve">       +13,8</w:t>
            </w:r>
          </w:p>
        </w:tc>
      </w:tr>
      <w:tr w:rsidR="00FD5136" w:rsidTr="00FD5136">
        <w:trPr>
          <w:trHeight w:val="510"/>
        </w:trPr>
        <w:tc>
          <w:tcPr>
            <w:tcW w:w="1674" w:type="dxa"/>
            <w:tcBorders>
              <w:bottom w:val="single" w:sz="12" w:space="0" w:color="auto"/>
            </w:tcBorders>
            <w:vAlign w:val="center"/>
          </w:tcPr>
          <w:p w:rsidR="00FD5136" w:rsidRDefault="00FD5136" w:rsidP="00BF7917">
            <w:pPr>
              <w:widowControl w:val="0"/>
              <w:autoSpaceDE w:val="0"/>
              <w:autoSpaceDN w:val="0"/>
              <w:adjustRightInd w:val="0"/>
              <w:rPr>
                <w:sz w:val="16"/>
              </w:rPr>
            </w:pPr>
            <w:r>
              <w:rPr>
                <w:sz w:val="16"/>
              </w:rPr>
              <w:t>Autres charges</w:t>
            </w:r>
          </w:p>
        </w:tc>
        <w:tc>
          <w:tcPr>
            <w:tcW w:w="1641" w:type="dxa"/>
            <w:tcBorders>
              <w:bottom w:val="single" w:sz="12" w:space="0" w:color="auto"/>
            </w:tcBorders>
            <w:vAlign w:val="center"/>
          </w:tcPr>
          <w:p w:rsidR="00992394" w:rsidRDefault="00992394" w:rsidP="00992394">
            <w:pPr>
              <w:widowControl w:val="0"/>
              <w:autoSpaceDE w:val="0"/>
              <w:autoSpaceDN w:val="0"/>
              <w:adjustRightInd w:val="0"/>
              <w:jc w:val="center"/>
              <w:rPr>
                <w:b/>
                <w:sz w:val="16"/>
                <w:szCs w:val="16"/>
              </w:rPr>
            </w:pPr>
          </w:p>
          <w:p w:rsidR="00992394" w:rsidRDefault="00E0525A" w:rsidP="00E0525A">
            <w:pPr>
              <w:widowControl w:val="0"/>
              <w:autoSpaceDE w:val="0"/>
              <w:autoSpaceDN w:val="0"/>
              <w:adjustRightInd w:val="0"/>
              <w:jc w:val="center"/>
              <w:rPr>
                <w:b/>
                <w:sz w:val="16"/>
                <w:szCs w:val="16"/>
              </w:rPr>
            </w:pPr>
            <w:r>
              <w:rPr>
                <w:b/>
                <w:sz w:val="16"/>
                <w:szCs w:val="16"/>
              </w:rPr>
              <w:t>3</w:t>
            </w:r>
            <w:r w:rsidR="00992394">
              <w:rPr>
                <w:b/>
                <w:sz w:val="16"/>
                <w:szCs w:val="16"/>
              </w:rPr>
              <w:t>.</w:t>
            </w:r>
            <w:r>
              <w:rPr>
                <w:b/>
                <w:sz w:val="16"/>
                <w:szCs w:val="16"/>
              </w:rPr>
              <w:t>119</w:t>
            </w:r>
            <w:r w:rsidR="00992394">
              <w:rPr>
                <w:b/>
                <w:sz w:val="16"/>
                <w:szCs w:val="16"/>
              </w:rPr>
              <w:t>.</w:t>
            </w:r>
            <w:r>
              <w:rPr>
                <w:b/>
                <w:sz w:val="16"/>
                <w:szCs w:val="16"/>
              </w:rPr>
              <w:t>888</w:t>
            </w:r>
          </w:p>
          <w:p w:rsidR="00FD5136" w:rsidRPr="00370B0E" w:rsidRDefault="00FD5136" w:rsidP="00992394">
            <w:pPr>
              <w:widowControl w:val="0"/>
              <w:autoSpaceDE w:val="0"/>
              <w:autoSpaceDN w:val="0"/>
              <w:adjustRightInd w:val="0"/>
              <w:jc w:val="center"/>
              <w:rPr>
                <w:b/>
                <w:sz w:val="16"/>
                <w:szCs w:val="16"/>
              </w:rPr>
            </w:pPr>
          </w:p>
        </w:tc>
        <w:tc>
          <w:tcPr>
            <w:tcW w:w="1559" w:type="dxa"/>
            <w:tcBorders>
              <w:bottom w:val="single" w:sz="12" w:space="0" w:color="auto"/>
            </w:tcBorders>
            <w:vAlign w:val="center"/>
          </w:tcPr>
          <w:p w:rsidR="00FD5136" w:rsidRPr="001D4C12" w:rsidRDefault="003B36C7" w:rsidP="00257AFB">
            <w:pPr>
              <w:widowControl w:val="0"/>
              <w:autoSpaceDE w:val="0"/>
              <w:autoSpaceDN w:val="0"/>
              <w:adjustRightInd w:val="0"/>
              <w:rPr>
                <w:b/>
                <w:sz w:val="16"/>
                <w:szCs w:val="16"/>
              </w:rPr>
            </w:pPr>
            <w:r>
              <w:rPr>
                <w:b/>
                <w:sz w:val="16"/>
                <w:szCs w:val="16"/>
              </w:rPr>
              <w:t>-</w:t>
            </w:r>
            <w:r w:rsidR="003572A9">
              <w:rPr>
                <w:b/>
                <w:sz w:val="16"/>
                <w:szCs w:val="16"/>
              </w:rPr>
              <w:t>2.943.332</w:t>
            </w:r>
          </w:p>
        </w:tc>
        <w:tc>
          <w:tcPr>
            <w:tcW w:w="1276" w:type="dxa"/>
            <w:tcBorders>
              <w:bottom w:val="single" w:sz="12" w:space="0" w:color="auto"/>
            </w:tcBorders>
            <w:vAlign w:val="center"/>
          </w:tcPr>
          <w:p w:rsidR="00FD5136" w:rsidRPr="00A02BCE" w:rsidRDefault="0033778B" w:rsidP="00395633">
            <w:pPr>
              <w:widowControl w:val="0"/>
              <w:autoSpaceDE w:val="0"/>
              <w:autoSpaceDN w:val="0"/>
              <w:adjustRightInd w:val="0"/>
              <w:rPr>
                <w:b/>
                <w:sz w:val="16"/>
                <w:szCs w:val="16"/>
              </w:rPr>
            </w:pPr>
            <w:r>
              <w:rPr>
                <w:b/>
                <w:sz w:val="16"/>
                <w:szCs w:val="16"/>
              </w:rPr>
              <w:t xml:space="preserve">       -194,3</w:t>
            </w:r>
          </w:p>
        </w:tc>
        <w:tc>
          <w:tcPr>
            <w:tcW w:w="1417" w:type="dxa"/>
            <w:tcBorders>
              <w:bottom w:val="single" w:sz="12" w:space="0" w:color="auto"/>
            </w:tcBorders>
            <w:vAlign w:val="center"/>
          </w:tcPr>
          <w:p w:rsidR="00FD5136" w:rsidRPr="007960EA" w:rsidRDefault="008E34BE" w:rsidP="008E34BE">
            <w:pPr>
              <w:widowControl w:val="0"/>
              <w:autoSpaceDE w:val="0"/>
              <w:autoSpaceDN w:val="0"/>
              <w:adjustRightInd w:val="0"/>
              <w:jc w:val="center"/>
              <w:rPr>
                <w:b/>
              </w:rPr>
            </w:pPr>
            <w:r>
              <w:rPr>
                <w:b/>
              </w:rPr>
              <w:t>-</w:t>
            </w:r>
          </w:p>
        </w:tc>
        <w:tc>
          <w:tcPr>
            <w:tcW w:w="1134" w:type="dxa"/>
            <w:tcBorders>
              <w:bottom w:val="single" w:sz="12" w:space="0" w:color="auto"/>
            </w:tcBorders>
            <w:vAlign w:val="center"/>
          </w:tcPr>
          <w:p w:rsidR="00FD5136" w:rsidRPr="003F27C2" w:rsidRDefault="00E16D04" w:rsidP="00992394">
            <w:pPr>
              <w:widowControl w:val="0"/>
              <w:autoSpaceDE w:val="0"/>
              <w:autoSpaceDN w:val="0"/>
              <w:adjustRightInd w:val="0"/>
              <w:rPr>
                <w:b/>
                <w:sz w:val="16"/>
                <w:szCs w:val="16"/>
              </w:rPr>
            </w:pPr>
            <w:r>
              <w:rPr>
                <w:b/>
                <w:sz w:val="16"/>
                <w:szCs w:val="16"/>
              </w:rPr>
              <w:t xml:space="preserve">- </w:t>
            </w:r>
            <w:r w:rsidR="0033778B">
              <w:rPr>
                <w:b/>
                <w:sz w:val="16"/>
                <w:szCs w:val="16"/>
              </w:rPr>
              <w:t>100,0</w:t>
            </w:r>
          </w:p>
        </w:tc>
      </w:tr>
      <w:tr w:rsidR="00FD5136" w:rsidTr="00FD5136">
        <w:trPr>
          <w:trHeight w:val="480"/>
        </w:trPr>
        <w:tc>
          <w:tcPr>
            <w:tcW w:w="1674" w:type="dxa"/>
            <w:shd w:val="clear" w:color="auto" w:fill="00FFFF"/>
            <w:vAlign w:val="center"/>
          </w:tcPr>
          <w:p w:rsidR="00FD5136" w:rsidRDefault="00FD5136" w:rsidP="00BF7917">
            <w:pPr>
              <w:widowControl w:val="0"/>
              <w:autoSpaceDE w:val="0"/>
              <w:autoSpaceDN w:val="0"/>
              <w:adjustRightInd w:val="0"/>
              <w:rPr>
                <w:b/>
                <w:sz w:val="16"/>
              </w:rPr>
            </w:pPr>
            <w:r>
              <w:rPr>
                <w:b/>
                <w:sz w:val="16"/>
              </w:rPr>
              <w:t>Total des charges de l'exercice</w:t>
            </w:r>
          </w:p>
        </w:tc>
        <w:tc>
          <w:tcPr>
            <w:tcW w:w="1641" w:type="dxa"/>
            <w:shd w:val="clear" w:color="auto" w:fill="00FFFF"/>
            <w:vAlign w:val="center"/>
          </w:tcPr>
          <w:p w:rsidR="00FD5136" w:rsidRPr="00370B0E" w:rsidRDefault="00E0525A" w:rsidP="00E0525A">
            <w:pPr>
              <w:widowControl w:val="0"/>
              <w:autoSpaceDE w:val="0"/>
              <w:autoSpaceDN w:val="0"/>
              <w:adjustRightInd w:val="0"/>
              <w:jc w:val="right"/>
              <w:rPr>
                <w:b/>
                <w:sz w:val="16"/>
                <w:szCs w:val="16"/>
              </w:rPr>
            </w:pPr>
            <w:r>
              <w:rPr>
                <w:b/>
                <w:sz w:val="16"/>
                <w:szCs w:val="16"/>
              </w:rPr>
              <w:t>756</w:t>
            </w:r>
            <w:r w:rsidR="003965DE">
              <w:rPr>
                <w:b/>
                <w:sz w:val="16"/>
                <w:szCs w:val="16"/>
              </w:rPr>
              <w:t>.</w:t>
            </w:r>
            <w:r>
              <w:rPr>
                <w:b/>
                <w:sz w:val="16"/>
                <w:szCs w:val="16"/>
              </w:rPr>
              <w:t>702</w:t>
            </w:r>
            <w:r w:rsidR="003965DE">
              <w:rPr>
                <w:b/>
                <w:sz w:val="16"/>
                <w:szCs w:val="16"/>
              </w:rPr>
              <w:t>.</w:t>
            </w:r>
            <w:r>
              <w:rPr>
                <w:b/>
                <w:sz w:val="16"/>
                <w:szCs w:val="16"/>
              </w:rPr>
              <w:t>735</w:t>
            </w:r>
          </w:p>
        </w:tc>
        <w:tc>
          <w:tcPr>
            <w:tcW w:w="1559" w:type="dxa"/>
            <w:shd w:val="clear" w:color="auto" w:fill="00FFFF"/>
            <w:vAlign w:val="center"/>
          </w:tcPr>
          <w:p w:rsidR="00FD5136" w:rsidRPr="00370B0E" w:rsidRDefault="003572A9" w:rsidP="003572A9">
            <w:pPr>
              <w:widowControl w:val="0"/>
              <w:autoSpaceDE w:val="0"/>
              <w:autoSpaceDN w:val="0"/>
              <w:adjustRightInd w:val="0"/>
              <w:rPr>
                <w:b/>
                <w:sz w:val="16"/>
                <w:szCs w:val="16"/>
              </w:rPr>
            </w:pPr>
            <w:r>
              <w:rPr>
                <w:b/>
                <w:sz w:val="16"/>
                <w:szCs w:val="16"/>
              </w:rPr>
              <w:t>899</w:t>
            </w:r>
            <w:r w:rsidR="003B36C7">
              <w:rPr>
                <w:b/>
                <w:sz w:val="16"/>
                <w:szCs w:val="16"/>
              </w:rPr>
              <w:t>.</w:t>
            </w:r>
            <w:r>
              <w:rPr>
                <w:b/>
                <w:sz w:val="16"/>
                <w:szCs w:val="16"/>
              </w:rPr>
              <w:t>710</w:t>
            </w:r>
            <w:r w:rsidR="003B36C7">
              <w:rPr>
                <w:b/>
                <w:sz w:val="16"/>
                <w:szCs w:val="16"/>
              </w:rPr>
              <w:t>.</w:t>
            </w:r>
            <w:r>
              <w:rPr>
                <w:b/>
                <w:sz w:val="16"/>
                <w:szCs w:val="16"/>
              </w:rPr>
              <w:t>584</w:t>
            </w:r>
          </w:p>
        </w:tc>
        <w:tc>
          <w:tcPr>
            <w:tcW w:w="1276" w:type="dxa"/>
            <w:shd w:val="clear" w:color="auto" w:fill="00FFFF"/>
            <w:vAlign w:val="center"/>
          </w:tcPr>
          <w:p w:rsidR="00FD5136" w:rsidRPr="00673EA7" w:rsidRDefault="0033778B" w:rsidP="00395633">
            <w:pPr>
              <w:widowControl w:val="0"/>
              <w:autoSpaceDE w:val="0"/>
              <w:autoSpaceDN w:val="0"/>
              <w:adjustRightInd w:val="0"/>
              <w:rPr>
                <w:b/>
                <w:sz w:val="16"/>
              </w:rPr>
            </w:pPr>
            <w:r>
              <w:rPr>
                <w:b/>
                <w:sz w:val="16"/>
              </w:rPr>
              <w:t xml:space="preserve">       +18,9</w:t>
            </w:r>
          </w:p>
        </w:tc>
        <w:tc>
          <w:tcPr>
            <w:tcW w:w="1417" w:type="dxa"/>
            <w:shd w:val="clear" w:color="auto" w:fill="00FFFF"/>
            <w:vAlign w:val="center"/>
          </w:tcPr>
          <w:p w:rsidR="00523DD2" w:rsidRPr="00AD5DAA" w:rsidRDefault="00523DD2" w:rsidP="00523DD2">
            <w:pPr>
              <w:widowControl w:val="0"/>
              <w:autoSpaceDE w:val="0"/>
              <w:autoSpaceDN w:val="0"/>
              <w:adjustRightInd w:val="0"/>
              <w:rPr>
                <w:b/>
                <w:sz w:val="16"/>
                <w:szCs w:val="16"/>
              </w:rPr>
            </w:pPr>
            <w:r>
              <w:rPr>
                <w:b/>
                <w:sz w:val="16"/>
                <w:szCs w:val="16"/>
              </w:rPr>
              <w:t xml:space="preserve">     793.040.000</w:t>
            </w:r>
          </w:p>
        </w:tc>
        <w:tc>
          <w:tcPr>
            <w:tcW w:w="1134" w:type="dxa"/>
            <w:shd w:val="clear" w:color="auto" w:fill="00FFFF"/>
            <w:vAlign w:val="center"/>
          </w:tcPr>
          <w:p w:rsidR="00FD5136" w:rsidRPr="00673EA7" w:rsidRDefault="0033778B" w:rsidP="00395633">
            <w:pPr>
              <w:widowControl w:val="0"/>
              <w:autoSpaceDE w:val="0"/>
              <w:autoSpaceDN w:val="0"/>
              <w:adjustRightInd w:val="0"/>
              <w:rPr>
                <w:b/>
                <w:sz w:val="16"/>
              </w:rPr>
            </w:pPr>
            <w:r>
              <w:rPr>
                <w:b/>
                <w:sz w:val="16"/>
              </w:rPr>
              <w:t>+</w:t>
            </w:r>
            <w:r w:rsidR="00E16D04">
              <w:rPr>
                <w:b/>
                <w:sz w:val="16"/>
              </w:rPr>
              <w:t>13,5</w:t>
            </w:r>
          </w:p>
        </w:tc>
      </w:tr>
    </w:tbl>
    <w:p w:rsidR="00AE224E" w:rsidRDefault="00AE224E">
      <w:pPr>
        <w:jc w:val="both"/>
        <w:rPr>
          <w:sz w:val="28"/>
        </w:rPr>
      </w:pPr>
    </w:p>
    <w:p w:rsidR="00C20387" w:rsidRDefault="00C2038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8D6327" w:rsidRDefault="008D6327" w:rsidP="00C71AB7">
      <w:pPr>
        <w:ind w:left="567"/>
        <w:jc w:val="both"/>
        <w:rPr>
          <w:sz w:val="28"/>
        </w:rPr>
      </w:pPr>
    </w:p>
    <w:p w:rsidR="00FB5193" w:rsidRDefault="00FB5193" w:rsidP="00C71AB7">
      <w:pPr>
        <w:ind w:left="567"/>
        <w:jc w:val="both"/>
        <w:rPr>
          <w:sz w:val="28"/>
        </w:rPr>
      </w:pPr>
    </w:p>
    <w:p w:rsidR="008D6327" w:rsidRDefault="008D6327" w:rsidP="00C71AB7">
      <w:pPr>
        <w:ind w:left="567"/>
        <w:jc w:val="both"/>
        <w:rPr>
          <w:sz w:val="28"/>
        </w:rPr>
      </w:pPr>
    </w:p>
    <w:p w:rsidR="00B56FCF" w:rsidRDefault="00B56FCF" w:rsidP="00C71AB7">
      <w:pPr>
        <w:ind w:left="567"/>
        <w:jc w:val="both"/>
        <w:rPr>
          <w:sz w:val="28"/>
        </w:rPr>
      </w:pPr>
    </w:p>
    <w:p w:rsidR="008D6327" w:rsidRDefault="00CE7CAF" w:rsidP="00CE7CAF">
      <w:pPr>
        <w:ind w:left="567"/>
        <w:jc w:val="both"/>
        <w:rPr>
          <w:sz w:val="28"/>
        </w:rPr>
      </w:pPr>
      <w:r>
        <w:rPr>
          <w:sz w:val="28"/>
        </w:rPr>
        <w:t>Le premier semestre 2022</w:t>
      </w:r>
      <w:r w:rsidR="008D6327">
        <w:rPr>
          <w:sz w:val="28"/>
        </w:rPr>
        <w:t xml:space="preserve"> a été marqué par une </w:t>
      </w:r>
      <w:r>
        <w:rPr>
          <w:sz w:val="28"/>
        </w:rPr>
        <w:t xml:space="preserve">hausse </w:t>
      </w:r>
      <w:r w:rsidR="00626652">
        <w:rPr>
          <w:sz w:val="28"/>
        </w:rPr>
        <w:t>sensible</w:t>
      </w:r>
      <w:r w:rsidR="008D6327">
        <w:rPr>
          <w:sz w:val="28"/>
        </w:rPr>
        <w:t xml:space="preserve"> du volume des cha</w:t>
      </w:r>
      <w:r w:rsidR="004D32B7">
        <w:rPr>
          <w:sz w:val="28"/>
        </w:rPr>
        <w:t xml:space="preserve">rges, </w:t>
      </w:r>
      <w:r>
        <w:rPr>
          <w:sz w:val="28"/>
        </w:rPr>
        <w:t>en rapport avec l’évolution de l’activité .E</w:t>
      </w:r>
      <w:r w:rsidR="004D32B7">
        <w:rPr>
          <w:sz w:val="28"/>
        </w:rPr>
        <w:t>lle est de l’ordre de</w:t>
      </w:r>
      <w:r>
        <w:rPr>
          <w:sz w:val="28"/>
        </w:rPr>
        <w:t xml:space="preserve"> 18</w:t>
      </w:r>
      <w:r w:rsidR="00626652">
        <w:rPr>
          <w:sz w:val="28"/>
        </w:rPr>
        <w:t>,</w:t>
      </w:r>
      <w:r>
        <w:rPr>
          <w:sz w:val="28"/>
        </w:rPr>
        <w:t xml:space="preserve">9 </w:t>
      </w:r>
      <w:r w:rsidR="003B36C7">
        <w:rPr>
          <w:sz w:val="28"/>
        </w:rPr>
        <w:t>%</w:t>
      </w:r>
      <w:proofErr w:type="gramStart"/>
      <w:r w:rsidR="003B36C7">
        <w:rPr>
          <w:sz w:val="28"/>
        </w:rPr>
        <w:t>,</w:t>
      </w:r>
      <w:r w:rsidR="008D6327">
        <w:rPr>
          <w:sz w:val="28"/>
        </w:rPr>
        <w:t>en</w:t>
      </w:r>
      <w:proofErr w:type="gramEnd"/>
      <w:r w:rsidR="008D6327">
        <w:rPr>
          <w:sz w:val="28"/>
        </w:rPr>
        <w:t xml:space="preserve"> comparaison avec les </w:t>
      </w:r>
      <w:r w:rsidR="00646896">
        <w:rPr>
          <w:sz w:val="28"/>
        </w:rPr>
        <w:t>données du pre</w:t>
      </w:r>
      <w:r>
        <w:rPr>
          <w:sz w:val="28"/>
        </w:rPr>
        <w:t>mier semestre 2021</w:t>
      </w:r>
      <w:r w:rsidR="008D6327">
        <w:rPr>
          <w:sz w:val="28"/>
        </w:rPr>
        <w:t>.</w:t>
      </w:r>
    </w:p>
    <w:p w:rsidR="008D6327" w:rsidRDefault="008D6327" w:rsidP="00C71AB7">
      <w:pPr>
        <w:ind w:left="567"/>
        <w:jc w:val="both"/>
        <w:rPr>
          <w:sz w:val="28"/>
        </w:rPr>
      </w:pPr>
    </w:p>
    <w:p w:rsidR="00C20387" w:rsidRDefault="00316155" w:rsidP="00CE7CAF">
      <w:pPr>
        <w:ind w:left="567"/>
        <w:jc w:val="both"/>
        <w:rPr>
          <w:sz w:val="28"/>
        </w:rPr>
      </w:pPr>
      <w:r>
        <w:rPr>
          <w:sz w:val="28"/>
        </w:rPr>
        <w:t>Sur ce, les charge</w:t>
      </w:r>
      <w:r w:rsidR="000B04FE">
        <w:rPr>
          <w:sz w:val="28"/>
        </w:rPr>
        <w:t xml:space="preserve">s </w:t>
      </w:r>
      <w:r w:rsidR="00CE7CAF">
        <w:rPr>
          <w:sz w:val="28"/>
        </w:rPr>
        <w:t xml:space="preserve">du premier semestre 2022 </w:t>
      </w:r>
      <w:r w:rsidR="00ED2248">
        <w:rPr>
          <w:sz w:val="28"/>
        </w:rPr>
        <w:t>se chiffrent à</w:t>
      </w:r>
      <w:r w:rsidR="00CE7CAF">
        <w:rPr>
          <w:sz w:val="28"/>
        </w:rPr>
        <w:t xml:space="preserve"> 899</w:t>
      </w:r>
      <w:r w:rsidR="00646896">
        <w:rPr>
          <w:sz w:val="28"/>
        </w:rPr>
        <w:t>,7</w:t>
      </w:r>
      <w:r w:rsidR="001C19FF">
        <w:rPr>
          <w:sz w:val="28"/>
        </w:rPr>
        <w:t xml:space="preserve"> M</w:t>
      </w:r>
      <w:r>
        <w:rPr>
          <w:sz w:val="28"/>
        </w:rPr>
        <w:t xml:space="preserve">illions de </w:t>
      </w:r>
      <w:r w:rsidR="00422B2B">
        <w:rPr>
          <w:sz w:val="28"/>
        </w:rPr>
        <w:t xml:space="preserve">DA, contre  </w:t>
      </w:r>
      <w:r w:rsidR="00CE7CAF">
        <w:rPr>
          <w:sz w:val="28"/>
        </w:rPr>
        <w:t>756,7</w:t>
      </w:r>
      <w:r w:rsidR="00C20387">
        <w:rPr>
          <w:sz w:val="28"/>
        </w:rPr>
        <w:t xml:space="preserve"> Millions de DA à fin </w:t>
      </w:r>
      <w:r w:rsidR="00CE7CAF">
        <w:rPr>
          <w:sz w:val="28"/>
        </w:rPr>
        <w:t>juin 2021</w:t>
      </w:r>
      <w:r w:rsidR="00646896">
        <w:rPr>
          <w:sz w:val="28"/>
        </w:rPr>
        <w:t>.</w:t>
      </w:r>
    </w:p>
    <w:p w:rsidR="00DE7A61" w:rsidRDefault="00DE7A61" w:rsidP="00C71AB7">
      <w:pPr>
        <w:ind w:left="567"/>
        <w:jc w:val="both"/>
        <w:rPr>
          <w:sz w:val="28"/>
        </w:rPr>
      </w:pPr>
    </w:p>
    <w:p w:rsidR="00523DD2" w:rsidRDefault="00DE7A61" w:rsidP="00CE7CAF">
      <w:pPr>
        <w:ind w:left="567"/>
        <w:jc w:val="both"/>
        <w:rPr>
          <w:sz w:val="28"/>
        </w:rPr>
      </w:pPr>
      <w:r>
        <w:rPr>
          <w:sz w:val="28"/>
        </w:rPr>
        <w:t>Pour la seule unité EL-</w:t>
      </w:r>
      <w:proofErr w:type="spellStart"/>
      <w:r>
        <w:rPr>
          <w:sz w:val="28"/>
        </w:rPr>
        <w:t>Aurassi</w:t>
      </w:r>
      <w:proofErr w:type="spellEnd"/>
      <w:r>
        <w:rPr>
          <w:sz w:val="28"/>
        </w:rPr>
        <w:t>, les charges d’exploitation s’élèvent à</w:t>
      </w:r>
      <w:r w:rsidR="00CE7CAF">
        <w:rPr>
          <w:sz w:val="28"/>
        </w:rPr>
        <w:t xml:space="preserve"> 720</w:t>
      </w:r>
      <w:r w:rsidR="00646896">
        <w:rPr>
          <w:sz w:val="28"/>
        </w:rPr>
        <w:t>,7</w:t>
      </w:r>
      <w:r>
        <w:rPr>
          <w:sz w:val="28"/>
        </w:rPr>
        <w:t xml:space="preserve"> Millions de </w:t>
      </w:r>
      <w:r w:rsidR="003E0A6E">
        <w:rPr>
          <w:sz w:val="28"/>
        </w:rPr>
        <w:t>DA,</w:t>
      </w:r>
      <w:r>
        <w:rPr>
          <w:sz w:val="28"/>
        </w:rPr>
        <w:t xml:space="preserve"> soit</w:t>
      </w:r>
      <w:r w:rsidR="00CE7CAF">
        <w:rPr>
          <w:sz w:val="28"/>
        </w:rPr>
        <w:t xml:space="preserve"> 80,1</w:t>
      </w:r>
      <w:r>
        <w:rPr>
          <w:sz w:val="28"/>
        </w:rPr>
        <w:t>% de</w:t>
      </w:r>
      <w:r w:rsidR="003F76C7">
        <w:rPr>
          <w:sz w:val="28"/>
        </w:rPr>
        <w:t>s charges globales de la chaine.</w:t>
      </w:r>
    </w:p>
    <w:p w:rsidR="002F7B0D" w:rsidRDefault="002F7B0D" w:rsidP="00F12EF1">
      <w:pPr>
        <w:ind w:left="567"/>
        <w:jc w:val="both"/>
        <w:rPr>
          <w:sz w:val="28"/>
        </w:rPr>
      </w:pPr>
    </w:p>
    <w:p w:rsidR="00FD5136" w:rsidRDefault="00FD5136" w:rsidP="00FD5136">
      <w:pPr>
        <w:tabs>
          <w:tab w:val="left" w:pos="540"/>
        </w:tabs>
        <w:jc w:val="both"/>
        <w:rPr>
          <w:b/>
          <w:color w:val="000080"/>
          <w:sz w:val="32"/>
          <w:u w:val="single"/>
        </w:rPr>
      </w:pPr>
      <w:r>
        <w:rPr>
          <w:b/>
          <w:color w:val="000080"/>
          <w:sz w:val="32"/>
          <w:u w:val="single"/>
        </w:rPr>
        <w:t>4-2-1</w:t>
      </w:r>
      <w:r w:rsidR="00956CC1">
        <w:rPr>
          <w:b/>
          <w:color w:val="000080"/>
          <w:sz w:val="32"/>
          <w:u w:val="single"/>
        </w:rPr>
        <w:t xml:space="preserve">-/ Les charges </w:t>
      </w:r>
      <w:proofErr w:type="gramStart"/>
      <w:r w:rsidR="00956CC1">
        <w:rPr>
          <w:b/>
          <w:color w:val="000080"/>
          <w:sz w:val="32"/>
          <w:u w:val="single"/>
        </w:rPr>
        <w:t xml:space="preserve">d'exploitation </w:t>
      </w:r>
      <w:r>
        <w:rPr>
          <w:b/>
          <w:color w:val="000080"/>
          <w:sz w:val="32"/>
          <w:u w:val="single"/>
        </w:rPr>
        <w:t xml:space="preserve"> :</w:t>
      </w:r>
      <w:proofErr w:type="gramEnd"/>
    </w:p>
    <w:p w:rsidR="00FD5136" w:rsidRDefault="00FD5136" w:rsidP="00F12EF1">
      <w:pPr>
        <w:ind w:left="567"/>
        <w:jc w:val="both"/>
        <w:rPr>
          <w:sz w:val="28"/>
        </w:rPr>
      </w:pPr>
    </w:p>
    <w:p w:rsidR="00651B04" w:rsidRDefault="00002669" w:rsidP="009740C9">
      <w:pPr>
        <w:ind w:left="567"/>
        <w:jc w:val="both"/>
        <w:rPr>
          <w:sz w:val="28"/>
        </w:rPr>
      </w:pPr>
      <w:r>
        <w:rPr>
          <w:sz w:val="28"/>
        </w:rPr>
        <w:t xml:space="preserve">Les consommations </w:t>
      </w:r>
      <w:r w:rsidR="003E0A6E">
        <w:rPr>
          <w:sz w:val="28"/>
        </w:rPr>
        <w:t>de denrées et boissons totalisent globalement un montant de</w:t>
      </w:r>
      <w:r w:rsidR="00CE7CAF">
        <w:rPr>
          <w:sz w:val="28"/>
        </w:rPr>
        <w:t xml:space="preserve"> 116</w:t>
      </w:r>
      <w:r w:rsidR="00646896">
        <w:rPr>
          <w:sz w:val="28"/>
        </w:rPr>
        <w:t>,4</w:t>
      </w:r>
      <w:r w:rsidR="003E0A6E">
        <w:rPr>
          <w:sz w:val="28"/>
        </w:rPr>
        <w:t xml:space="preserve"> Millions de DA, rapportées  </w:t>
      </w:r>
      <w:r w:rsidR="0061437C">
        <w:rPr>
          <w:sz w:val="28"/>
        </w:rPr>
        <w:t xml:space="preserve">pour </w:t>
      </w:r>
      <w:r w:rsidR="003E0A6E">
        <w:rPr>
          <w:sz w:val="28"/>
        </w:rPr>
        <w:t>chacun</w:t>
      </w:r>
      <w:r w:rsidR="00FB22BD">
        <w:rPr>
          <w:sz w:val="28"/>
        </w:rPr>
        <w:t>e</w:t>
      </w:r>
      <w:r w:rsidR="003E0A6E">
        <w:rPr>
          <w:sz w:val="28"/>
        </w:rPr>
        <w:t xml:space="preserve"> d’e</w:t>
      </w:r>
      <w:r w:rsidR="00FB22BD">
        <w:rPr>
          <w:sz w:val="28"/>
        </w:rPr>
        <w:t>lles</w:t>
      </w:r>
      <w:r w:rsidR="009F60BC">
        <w:rPr>
          <w:sz w:val="28"/>
        </w:rPr>
        <w:t>, au chiffre d’affaires</w:t>
      </w:r>
      <w:r w:rsidR="0061437C">
        <w:rPr>
          <w:sz w:val="28"/>
        </w:rPr>
        <w:t xml:space="preserve"> de l'activité </w:t>
      </w:r>
      <w:r w:rsidR="00944332">
        <w:rPr>
          <w:sz w:val="28"/>
        </w:rPr>
        <w:t>considéré,</w:t>
      </w:r>
      <w:r w:rsidR="00FB22BD">
        <w:rPr>
          <w:sz w:val="28"/>
        </w:rPr>
        <w:t>l</w:t>
      </w:r>
      <w:r w:rsidR="009F60BC">
        <w:rPr>
          <w:sz w:val="28"/>
        </w:rPr>
        <w:t>es</w:t>
      </w:r>
      <w:r w:rsidR="003E0A6E">
        <w:rPr>
          <w:sz w:val="28"/>
        </w:rPr>
        <w:t xml:space="preserve"> ratios</w:t>
      </w:r>
      <w:r w:rsidR="009F60BC">
        <w:rPr>
          <w:sz w:val="28"/>
        </w:rPr>
        <w:t xml:space="preserve"> obtenus</w:t>
      </w:r>
      <w:r w:rsidR="009740C9">
        <w:rPr>
          <w:sz w:val="28"/>
        </w:rPr>
        <w:t xml:space="preserve"> à l’échelle de la filiale sont respectivement de 39,1% t 21,2%.Seul le ratio boissons est </w:t>
      </w:r>
      <w:r w:rsidR="00646896">
        <w:rPr>
          <w:sz w:val="28"/>
        </w:rPr>
        <w:t>dans</w:t>
      </w:r>
      <w:r w:rsidR="00626652">
        <w:rPr>
          <w:sz w:val="28"/>
        </w:rPr>
        <w:t xml:space="preserve"> la norme généralement admise dans la </w:t>
      </w:r>
      <w:r w:rsidR="009740C9">
        <w:rPr>
          <w:sz w:val="28"/>
        </w:rPr>
        <w:t>profession.</w:t>
      </w:r>
    </w:p>
    <w:p w:rsidR="005F2A14" w:rsidRDefault="005F2A14" w:rsidP="008D6327">
      <w:pPr>
        <w:jc w:val="both"/>
        <w:rPr>
          <w:sz w:val="28"/>
        </w:rPr>
      </w:pPr>
    </w:p>
    <w:p w:rsidR="002B7BE1" w:rsidRPr="00225FFC" w:rsidRDefault="008100CB" w:rsidP="009740C9">
      <w:pPr>
        <w:ind w:left="567"/>
        <w:jc w:val="both"/>
        <w:rPr>
          <w:sz w:val="28"/>
        </w:rPr>
      </w:pPr>
      <w:r>
        <w:rPr>
          <w:sz w:val="28"/>
        </w:rPr>
        <w:t xml:space="preserve">Les services extérieurs cumulés </w:t>
      </w:r>
      <w:r w:rsidRPr="00745B52">
        <w:rPr>
          <w:sz w:val="28"/>
        </w:rPr>
        <w:t>ont</w:t>
      </w:r>
      <w:r w:rsidR="002370E5" w:rsidRPr="00745B52">
        <w:rPr>
          <w:sz w:val="28"/>
        </w:rPr>
        <w:t xml:space="preserve"> connu une</w:t>
      </w:r>
      <w:r w:rsidR="00646896">
        <w:rPr>
          <w:sz w:val="28"/>
        </w:rPr>
        <w:t xml:space="preserve">forte </w:t>
      </w:r>
      <w:r w:rsidR="009740C9">
        <w:rPr>
          <w:sz w:val="28"/>
        </w:rPr>
        <w:t xml:space="preserve">hausse </w:t>
      </w:r>
      <w:r w:rsidR="005D054D">
        <w:rPr>
          <w:sz w:val="28"/>
        </w:rPr>
        <w:t>de leurs couts</w:t>
      </w:r>
      <w:r w:rsidR="009740C9">
        <w:rPr>
          <w:sz w:val="28"/>
        </w:rPr>
        <w:t>.</w:t>
      </w:r>
      <w:r w:rsidR="00646896">
        <w:rPr>
          <w:sz w:val="28"/>
        </w:rPr>
        <w:t>Elle</w:t>
      </w:r>
      <w:r w:rsidR="003E0A6E">
        <w:rPr>
          <w:sz w:val="28"/>
        </w:rPr>
        <w:t xml:space="preserve"> est </w:t>
      </w:r>
      <w:r w:rsidR="00ED2248" w:rsidRPr="00745B52">
        <w:rPr>
          <w:sz w:val="28"/>
        </w:rPr>
        <w:t>de</w:t>
      </w:r>
      <w:r w:rsidR="009740C9">
        <w:rPr>
          <w:sz w:val="28"/>
        </w:rPr>
        <w:t xml:space="preserve"> 32,0</w:t>
      </w:r>
      <w:r w:rsidR="00C07948" w:rsidRPr="00745B52">
        <w:rPr>
          <w:sz w:val="28"/>
        </w:rPr>
        <w:t>%</w:t>
      </w:r>
      <w:r w:rsidR="002B7BE1">
        <w:rPr>
          <w:sz w:val="28"/>
        </w:rPr>
        <w:t xml:space="preserve">, </w:t>
      </w:r>
      <w:r w:rsidR="00971C3D">
        <w:rPr>
          <w:sz w:val="28"/>
        </w:rPr>
        <w:t>avec un montant de</w:t>
      </w:r>
      <w:r w:rsidR="009740C9">
        <w:rPr>
          <w:sz w:val="28"/>
        </w:rPr>
        <w:t xml:space="preserve"> 57</w:t>
      </w:r>
      <w:r w:rsidR="005D054D">
        <w:rPr>
          <w:sz w:val="28"/>
        </w:rPr>
        <w:t>,8</w:t>
      </w:r>
      <w:r w:rsidR="00B56FCF">
        <w:rPr>
          <w:sz w:val="28"/>
        </w:rPr>
        <w:t xml:space="preserve">Millions de DA. </w:t>
      </w:r>
      <w:r w:rsidR="003E0A6E">
        <w:rPr>
          <w:sz w:val="28"/>
        </w:rPr>
        <w:t xml:space="preserve">Ce poste recouvre avec </w:t>
      </w:r>
      <w:r w:rsidR="002B7BE1">
        <w:rPr>
          <w:color w:val="000000"/>
          <w:sz w:val="28"/>
        </w:rPr>
        <w:t>l’application</w:t>
      </w:r>
      <w:r w:rsidR="00705FC5">
        <w:rPr>
          <w:color w:val="000000"/>
          <w:sz w:val="28"/>
        </w:rPr>
        <w:t>du</w:t>
      </w:r>
      <w:r w:rsidR="002B7BE1">
        <w:rPr>
          <w:color w:val="000000"/>
          <w:sz w:val="28"/>
        </w:rPr>
        <w:t xml:space="preserve">système comptable </w:t>
      </w:r>
      <w:r w:rsidR="00B56FCF">
        <w:rPr>
          <w:color w:val="000000"/>
          <w:sz w:val="28"/>
        </w:rPr>
        <w:t>financier, les</w:t>
      </w:r>
      <w:r w:rsidR="00355376" w:rsidRPr="00B02047">
        <w:rPr>
          <w:color w:val="000000"/>
          <w:sz w:val="28"/>
        </w:rPr>
        <w:t xml:space="preserve"> assurances, les frais financiers </w:t>
      </w:r>
      <w:r w:rsidR="00280386" w:rsidRPr="00B02047">
        <w:rPr>
          <w:color w:val="000000"/>
          <w:sz w:val="28"/>
        </w:rPr>
        <w:t>courants</w:t>
      </w:r>
      <w:r w:rsidR="00890A26">
        <w:rPr>
          <w:color w:val="000000"/>
          <w:sz w:val="28"/>
        </w:rPr>
        <w:t xml:space="preserve">, </w:t>
      </w:r>
      <w:r w:rsidR="002B7BE1">
        <w:rPr>
          <w:color w:val="000000"/>
          <w:sz w:val="28"/>
        </w:rPr>
        <w:t>etc.…</w:t>
      </w:r>
    </w:p>
    <w:p w:rsidR="005D054D" w:rsidRPr="002B7BE1" w:rsidRDefault="005D054D" w:rsidP="008C38E8">
      <w:pPr>
        <w:jc w:val="both"/>
        <w:rPr>
          <w:color w:val="000000"/>
          <w:sz w:val="28"/>
        </w:rPr>
      </w:pPr>
    </w:p>
    <w:p w:rsidR="004D32B7" w:rsidRDefault="00905CE8" w:rsidP="00971C3D">
      <w:pPr>
        <w:ind w:left="567"/>
        <w:jc w:val="both"/>
        <w:rPr>
          <w:sz w:val="28"/>
        </w:rPr>
      </w:pPr>
      <w:r>
        <w:rPr>
          <w:sz w:val="28"/>
        </w:rPr>
        <w:lastRenderedPageBreak/>
        <w:t>Les frais du personnel</w:t>
      </w:r>
      <w:r w:rsidR="00170978" w:rsidRPr="00B02047">
        <w:rPr>
          <w:sz w:val="28"/>
        </w:rPr>
        <w:t>cumulés</w:t>
      </w:r>
      <w:r w:rsidR="00280386">
        <w:rPr>
          <w:sz w:val="28"/>
        </w:rPr>
        <w:t>s</w:t>
      </w:r>
      <w:r w:rsidR="00170978">
        <w:rPr>
          <w:sz w:val="28"/>
        </w:rPr>
        <w:t>ont</w:t>
      </w:r>
      <w:r w:rsidR="008D6327">
        <w:rPr>
          <w:sz w:val="28"/>
        </w:rPr>
        <w:t>en</w:t>
      </w:r>
      <w:r w:rsidR="009740C9">
        <w:rPr>
          <w:sz w:val="28"/>
        </w:rPr>
        <w:t xml:space="preserve"> hausse de 15,4%,</w:t>
      </w:r>
      <w:r w:rsidR="00B56FCF">
        <w:rPr>
          <w:sz w:val="28"/>
        </w:rPr>
        <w:t xml:space="preserve"> comparativement</w:t>
      </w:r>
      <w:r w:rsidR="001E5ADE">
        <w:rPr>
          <w:sz w:val="28"/>
        </w:rPr>
        <w:t xml:space="preserve"> au premier</w:t>
      </w:r>
      <w:r w:rsidR="00646896">
        <w:rPr>
          <w:sz w:val="28"/>
        </w:rPr>
        <w:t xml:space="preserve">semestre de l’exercice </w:t>
      </w:r>
      <w:r w:rsidR="009740C9">
        <w:rPr>
          <w:sz w:val="28"/>
        </w:rPr>
        <w:t xml:space="preserve">2021.Elle s’explique par </w:t>
      </w:r>
      <w:r w:rsidR="008C38E8">
        <w:rPr>
          <w:sz w:val="28"/>
        </w:rPr>
        <w:t xml:space="preserve">une augmentation des salaires à hauteur de 15%, </w:t>
      </w:r>
      <w:r w:rsidR="00971C3D">
        <w:rPr>
          <w:sz w:val="28"/>
        </w:rPr>
        <w:t xml:space="preserve">opérée </w:t>
      </w:r>
      <w:r w:rsidR="008C38E8">
        <w:rPr>
          <w:sz w:val="28"/>
        </w:rPr>
        <w:t>en Mars 2022, conformément à un a</w:t>
      </w:r>
      <w:r w:rsidR="00B34E32">
        <w:rPr>
          <w:sz w:val="28"/>
        </w:rPr>
        <w:t xml:space="preserve">ccord de branche conclu le 26 Décembre 2019, </w:t>
      </w:r>
      <w:r w:rsidR="008C38E8">
        <w:rPr>
          <w:sz w:val="28"/>
        </w:rPr>
        <w:t xml:space="preserve">entre le Groupe HTT et la Fédération UGTA  du Tourisme et du Commerce, </w:t>
      </w:r>
      <w:r w:rsidR="00B34E32">
        <w:rPr>
          <w:sz w:val="28"/>
        </w:rPr>
        <w:t xml:space="preserve">prenant </w:t>
      </w:r>
      <w:r w:rsidR="008C38E8">
        <w:rPr>
          <w:sz w:val="28"/>
        </w:rPr>
        <w:t>effet à compter du 1</w:t>
      </w:r>
      <w:r w:rsidR="008C38E8" w:rsidRPr="008C38E8">
        <w:rPr>
          <w:sz w:val="28"/>
          <w:vertAlign w:val="superscript"/>
        </w:rPr>
        <w:t>e</w:t>
      </w:r>
      <w:r w:rsidR="008C38E8">
        <w:rPr>
          <w:sz w:val="28"/>
        </w:rPr>
        <w:t xml:space="preserve"> Janvier 2020.</w:t>
      </w:r>
    </w:p>
    <w:p w:rsidR="007044A2" w:rsidRDefault="007044A2" w:rsidP="00C71AB7">
      <w:pPr>
        <w:ind w:left="567"/>
        <w:jc w:val="both"/>
        <w:rPr>
          <w:sz w:val="28"/>
        </w:rPr>
      </w:pPr>
    </w:p>
    <w:p w:rsidR="00280386" w:rsidRDefault="00D63469" w:rsidP="00B34E32">
      <w:pPr>
        <w:ind w:left="567"/>
        <w:jc w:val="both"/>
        <w:rPr>
          <w:sz w:val="28"/>
        </w:rPr>
      </w:pPr>
      <w:r>
        <w:rPr>
          <w:sz w:val="28"/>
        </w:rPr>
        <w:t>Cette masse des frais de personnel s’élève à</w:t>
      </w:r>
      <w:r w:rsidR="00B34E32">
        <w:rPr>
          <w:sz w:val="28"/>
        </w:rPr>
        <w:t xml:space="preserve"> 306,1</w:t>
      </w:r>
      <w:r>
        <w:rPr>
          <w:sz w:val="28"/>
        </w:rPr>
        <w:t xml:space="preserve"> Millions de DA contre</w:t>
      </w:r>
      <w:r w:rsidR="00B34E32">
        <w:rPr>
          <w:sz w:val="28"/>
        </w:rPr>
        <w:t xml:space="preserve"> 265,2</w:t>
      </w:r>
      <w:r w:rsidR="008D6327">
        <w:rPr>
          <w:sz w:val="28"/>
        </w:rPr>
        <w:t xml:space="preserve"> Millions de DA engagés a</w:t>
      </w:r>
      <w:r w:rsidR="00B34E32">
        <w:rPr>
          <w:sz w:val="28"/>
        </w:rPr>
        <w:t>u titre du premier semestre 2021</w:t>
      </w:r>
      <w:r w:rsidR="008D6327">
        <w:rPr>
          <w:sz w:val="28"/>
        </w:rPr>
        <w:t>.</w:t>
      </w:r>
    </w:p>
    <w:p w:rsidR="009776FE" w:rsidRDefault="009776FE" w:rsidP="00C71AB7">
      <w:pPr>
        <w:ind w:left="567"/>
        <w:jc w:val="both"/>
        <w:rPr>
          <w:sz w:val="28"/>
        </w:rPr>
      </w:pPr>
    </w:p>
    <w:p w:rsidR="005F2A14" w:rsidRDefault="008D6327" w:rsidP="00971C3D">
      <w:pPr>
        <w:ind w:left="567"/>
        <w:jc w:val="both"/>
        <w:rPr>
          <w:sz w:val="28"/>
        </w:rPr>
      </w:pPr>
      <w:r>
        <w:rPr>
          <w:sz w:val="28"/>
        </w:rPr>
        <w:t xml:space="preserve">Cette masse des frais du personnel </w:t>
      </w:r>
      <w:r w:rsidR="00AE224E">
        <w:rPr>
          <w:sz w:val="28"/>
        </w:rPr>
        <w:t xml:space="preserve"> rapporté</w:t>
      </w:r>
      <w:r>
        <w:rPr>
          <w:sz w:val="28"/>
        </w:rPr>
        <w:t>e</w:t>
      </w:r>
      <w:r w:rsidR="00AE224E">
        <w:rPr>
          <w:sz w:val="28"/>
        </w:rPr>
        <w:t xml:space="preserve"> au chiffre </w:t>
      </w:r>
      <w:r w:rsidR="008100CB">
        <w:rPr>
          <w:sz w:val="28"/>
        </w:rPr>
        <w:t xml:space="preserve">d’affaires </w:t>
      </w:r>
      <w:r w:rsidR="00422B2B">
        <w:rPr>
          <w:sz w:val="28"/>
        </w:rPr>
        <w:t xml:space="preserve">laisse apparaitre </w:t>
      </w:r>
      <w:r w:rsidR="00280386">
        <w:rPr>
          <w:sz w:val="28"/>
        </w:rPr>
        <w:t>un ratio</w:t>
      </w:r>
      <w:r w:rsidR="00B34E32">
        <w:rPr>
          <w:sz w:val="28"/>
        </w:rPr>
        <w:t xml:space="preserve"> de 44,9%, malgré qu’il soit en nette amélioration par rapport au premier semestre 2021, il est </w:t>
      </w:r>
      <w:r w:rsidR="00971C3D">
        <w:rPr>
          <w:sz w:val="28"/>
        </w:rPr>
        <w:t xml:space="preserve">considéré </w:t>
      </w:r>
      <w:r w:rsidR="00B34E32">
        <w:rPr>
          <w:sz w:val="28"/>
        </w:rPr>
        <w:t xml:space="preserve">hors norme, sachant que ce ratio,  selon la norme </w:t>
      </w:r>
      <w:r w:rsidR="00971C3D">
        <w:rPr>
          <w:sz w:val="28"/>
        </w:rPr>
        <w:t>professionnelle applicable dans notre pays,</w:t>
      </w:r>
      <w:r w:rsidR="00B34E32">
        <w:rPr>
          <w:sz w:val="28"/>
        </w:rPr>
        <w:t xml:space="preserve"> doit se situer autour de 30% du chiffre d’affaires global. </w:t>
      </w:r>
    </w:p>
    <w:p w:rsidR="00944332" w:rsidRDefault="00944332" w:rsidP="00C71AB7">
      <w:pPr>
        <w:ind w:left="567"/>
        <w:jc w:val="both"/>
        <w:rPr>
          <w:sz w:val="28"/>
        </w:rPr>
      </w:pPr>
    </w:p>
    <w:p w:rsidR="00280386" w:rsidRDefault="00280386" w:rsidP="009373B7">
      <w:pPr>
        <w:ind w:left="567"/>
        <w:jc w:val="both"/>
        <w:rPr>
          <w:sz w:val="28"/>
        </w:rPr>
      </w:pPr>
      <w:r>
        <w:rPr>
          <w:sz w:val="28"/>
        </w:rPr>
        <w:t>Rapporté à la valeur ajouté</w:t>
      </w:r>
      <w:r w:rsidR="008D6327">
        <w:rPr>
          <w:sz w:val="28"/>
        </w:rPr>
        <w:t xml:space="preserve">e, le </w:t>
      </w:r>
      <w:r>
        <w:rPr>
          <w:sz w:val="28"/>
        </w:rPr>
        <w:t xml:space="preserve">ratio </w:t>
      </w:r>
      <w:r w:rsidR="00E24D6F">
        <w:rPr>
          <w:sz w:val="28"/>
        </w:rPr>
        <w:t>a  grimpé à</w:t>
      </w:r>
      <w:r w:rsidR="009373B7">
        <w:rPr>
          <w:sz w:val="28"/>
        </w:rPr>
        <w:t xml:space="preserve">  65,3</w:t>
      </w:r>
      <w:r>
        <w:rPr>
          <w:sz w:val="28"/>
        </w:rPr>
        <w:t>%.</w:t>
      </w:r>
      <w:r w:rsidR="008D6327">
        <w:rPr>
          <w:sz w:val="28"/>
        </w:rPr>
        <w:t xml:space="preserve">Le cout des frais du personnel incorpore </w:t>
      </w:r>
      <w:r w:rsidR="004350D7">
        <w:rPr>
          <w:sz w:val="28"/>
        </w:rPr>
        <w:t>le volet formation</w:t>
      </w:r>
      <w:r w:rsidR="008D6327">
        <w:rPr>
          <w:sz w:val="28"/>
        </w:rPr>
        <w:t xml:space="preserve"> pour</w:t>
      </w:r>
      <w:r w:rsidR="004350D7">
        <w:rPr>
          <w:sz w:val="28"/>
        </w:rPr>
        <w:t xml:space="preserve"> un montant de</w:t>
      </w:r>
      <w:r w:rsidR="009373B7">
        <w:rPr>
          <w:sz w:val="28"/>
        </w:rPr>
        <w:t xml:space="preserve"> 2,9 Millions de DA, correspondant à 1,26% de la masse salariale brute.</w:t>
      </w:r>
    </w:p>
    <w:p w:rsidR="00AE224E" w:rsidRDefault="00AE224E" w:rsidP="00C71AB7">
      <w:pPr>
        <w:ind w:left="567"/>
        <w:jc w:val="both"/>
        <w:rPr>
          <w:sz w:val="28"/>
        </w:rPr>
      </w:pPr>
    </w:p>
    <w:p w:rsidR="00AE60C8" w:rsidRDefault="009A29D6" w:rsidP="009373B7">
      <w:pPr>
        <w:ind w:left="567"/>
        <w:jc w:val="both"/>
        <w:rPr>
          <w:sz w:val="28"/>
        </w:rPr>
      </w:pPr>
      <w:r>
        <w:rPr>
          <w:sz w:val="28"/>
        </w:rPr>
        <w:t>Les i</w:t>
      </w:r>
      <w:r w:rsidR="00A170CF">
        <w:rPr>
          <w:sz w:val="28"/>
        </w:rPr>
        <w:t xml:space="preserve">mpôts et taxes </w:t>
      </w:r>
      <w:r w:rsidR="00060593">
        <w:rPr>
          <w:sz w:val="28"/>
        </w:rPr>
        <w:t>cumulés se</w:t>
      </w:r>
      <w:r w:rsidR="008100CB">
        <w:rPr>
          <w:sz w:val="28"/>
        </w:rPr>
        <w:t xml:space="preserve"> chiffrent</w:t>
      </w:r>
      <w:r w:rsidR="00293188">
        <w:rPr>
          <w:sz w:val="28"/>
        </w:rPr>
        <w:t xml:space="preserve"> à</w:t>
      </w:r>
      <w:r w:rsidR="009373B7">
        <w:rPr>
          <w:sz w:val="28"/>
        </w:rPr>
        <w:t xml:space="preserve"> 16,7</w:t>
      </w:r>
      <w:r w:rsidR="00293188">
        <w:rPr>
          <w:sz w:val="28"/>
        </w:rPr>
        <w:t xml:space="preserve"> M</w:t>
      </w:r>
      <w:r w:rsidR="00AE60C8">
        <w:rPr>
          <w:sz w:val="28"/>
        </w:rPr>
        <w:t>illions de DA, contre</w:t>
      </w:r>
      <w:r w:rsidR="009373B7">
        <w:rPr>
          <w:sz w:val="28"/>
        </w:rPr>
        <w:t xml:space="preserve"> 5,3</w:t>
      </w:r>
      <w:r w:rsidR="008B367D">
        <w:rPr>
          <w:sz w:val="28"/>
        </w:rPr>
        <w:t xml:space="preserve"> Millions de DA  a</w:t>
      </w:r>
      <w:r w:rsidR="009373B7">
        <w:rPr>
          <w:sz w:val="28"/>
        </w:rPr>
        <w:t>u titre du premier semestre 2021</w:t>
      </w:r>
      <w:r w:rsidR="008B367D">
        <w:rPr>
          <w:sz w:val="28"/>
        </w:rPr>
        <w:t xml:space="preserve">. </w:t>
      </w:r>
      <w:r w:rsidR="00305CD8">
        <w:rPr>
          <w:sz w:val="28"/>
        </w:rPr>
        <w:t xml:space="preserve">Cette </w:t>
      </w:r>
      <w:r w:rsidR="009373B7">
        <w:rPr>
          <w:sz w:val="28"/>
        </w:rPr>
        <w:t xml:space="preserve">hausse </w:t>
      </w:r>
      <w:r w:rsidR="00305CD8">
        <w:rPr>
          <w:sz w:val="28"/>
        </w:rPr>
        <w:t xml:space="preserve">s’explique par </w:t>
      </w:r>
      <w:r w:rsidR="009373B7">
        <w:rPr>
          <w:sz w:val="28"/>
        </w:rPr>
        <w:t xml:space="preserve">l’évolution du chiffre d’affaires et par voie de conséquence du </w:t>
      </w:r>
      <w:r w:rsidR="00305CD8">
        <w:rPr>
          <w:sz w:val="28"/>
        </w:rPr>
        <w:t xml:space="preserve">volume des encaissements </w:t>
      </w:r>
      <w:r w:rsidR="009373B7">
        <w:rPr>
          <w:sz w:val="28"/>
        </w:rPr>
        <w:t xml:space="preserve">enregistrés, notamment sur les ventes au comptant. </w:t>
      </w:r>
      <w:r w:rsidR="008B367D">
        <w:rPr>
          <w:sz w:val="28"/>
        </w:rPr>
        <w:t xml:space="preserve">Ces impôts centralisés à l’échelle de la chaine sont déclarés et </w:t>
      </w:r>
      <w:r w:rsidR="009373B7">
        <w:rPr>
          <w:sz w:val="28"/>
        </w:rPr>
        <w:t xml:space="preserve">liquidés, selon </w:t>
      </w:r>
      <w:r w:rsidR="004D32B7">
        <w:rPr>
          <w:sz w:val="28"/>
        </w:rPr>
        <w:t xml:space="preserve"> une </w:t>
      </w:r>
      <w:r w:rsidR="00E24D6F">
        <w:rPr>
          <w:sz w:val="28"/>
        </w:rPr>
        <w:t>plate-forme</w:t>
      </w:r>
      <w:r w:rsidR="009373B7">
        <w:rPr>
          <w:sz w:val="28"/>
        </w:rPr>
        <w:t xml:space="preserve"> de la DGE, dédiée à cet effet.</w:t>
      </w:r>
    </w:p>
    <w:p w:rsidR="0080373B" w:rsidRDefault="0080373B" w:rsidP="00C71AB7">
      <w:pPr>
        <w:ind w:left="567"/>
        <w:jc w:val="both"/>
        <w:rPr>
          <w:sz w:val="28"/>
        </w:rPr>
      </w:pPr>
    </w:p>
    <w:p w:rsidR="008B367D" w:rsidRDefault="0080373B" w:rsidP="009373B7">
      <w:pPr>
        <w:ind w:left="567"/>
        <w:jc w:val="both"/>
        <w:rPr>
          <w:sz w:val="28"/>
        </w:rPr>
      </w:pPr>
      <w:r w:rsidRPr="00075CF6">
        <w:rPr>
          <w:sz w:val="28"/>
        </w:rPr>
        <w:t xml:space="preserve">Les </w:t>
      </w:r>
      <w:r w:rsidR="005B4ED8" w:rsidRPr="00075CF6">
        <w:rPr>
          <w:sz w:val="28"/>
        </w:rPr>
        <w:t>charges financières d’un montan</w:t>
      </w:r>
      <w:r w:rsidR="00075CF6">
        <w:rPr>
          <w:sz w:val="28"/>
        </w:rPr>
        <w:t>t de</w:t>
      </w:r>
      <w:r w:rsidR="009373B7">
        <w:rPr>
          <w:sz w:val="28"/>
        </w:rPr>
        <w:t xml:space="preserve"> 10,4 </w:t>
      </w:r>
      <w:r w:rsidR="00075CF6">
        <w:rPr>
          <w:sz w:val="28"/>
        </w:rPr>
        <w:t xml:space="preserve">Millions de </w:t>
      </w:r>
      <w:r w:rsidR="00A71C63">
        <w:rPr>
          <w:sz w:val="28"/>
        </w:rPr>
        <w:t xml:space="preserve">DA </w:t>
      </w:r>
      <w:r w:rsidR="004D32B7">
        <w:rPr>
          <w:sz w:val="28"/>
        </w:rPr>
        <w:t>sont représentées principalement</w:t>
      </w:r>
      <w:r w:rsidR="00C53046">
        <w:rPr>
          <w:sz w:val="28"/>
        </w:rPr>
        <w:t xml:space="preserve"> par </w:t>
      </w:r>
      <w:r w:rsidR="00305CD8">
        <w:rPr>
          <w:sz w:val="28"/>
        </w:rPr>
        <w:t>les</w:t>
      </w:r>
      <w:r w:rsidR="008B367D">
        <w:rPr>
          <w:sz w:val="28"/>
        </w:rPr>
        <w:t xml:space="preserve"> pertes de change résultant de la fluctuation des c</w:t>
      </w:r>
      <w:r w:rsidR="00305CD8">
        <w:rPr>
          <w:sz w:val="28"/>
        </w:rPr>
        <w:t>ours de la devise</w:t>
      </w:r>
      <w:r w:rsidR="009373B7">
        <w:rPr>
          <w:sz w:val="28"/>
        </w:rPr>
        <w:t xml:space="preserve"> durant le premier semestre 2022</w:t>
      </w:r>
      <w:r w:rsidR="00305CD8">
        <w:rPr>
          <w:sz w:val="28"/>
        </w:rPr>
        <w:t>.</w:t>
      </w:r>
    </w:p>
    <w:p w:rsidR="005E673B" w:rsidRDefault="005E673B" w:rsidP="008B367D">
      <w:pPr>
        <w:jc w:val="both"/>
        <w:rPr>
          <w:sz w:val="28"/>
        </w:rPr>
      </w:pPr>
    </w:p>
    <w:p w:rsidR="0079673F" w:rsidRDefault="0079673F" w:rsidP="00280C83">
      <w:pPr>
        <w:ind w:left="567"/>
        <w:jc w:val="both"/>
        <w:rPr>
          <w:sz w:val="28"/>
        </w:rPr>
      </w:pPr>
      <w:r w:rsidRPr="00B02047">
        <w:rPr>
          <w:sz w:val="28"/>
        </w:rPr>
        <w:t>Les charges opérationnelles</w:t>
      </w:r>
      <w:r w:rsidR="008B367D">
        <w:rPr>
          <w:sz w:val="28"/>
        </w:rPr>
        <w:t xml:space="preserve"> d'un montant de</w:t>
      </w:r>
      <w:r w:rsidR="009373B7">
        <w:rPr>
          <w:sz w:val="28"/>
        </w:rPr>
        <w:t xml:space="preserve"> 46,1</w:t>
      </w:r>
      <w:r w:rsidR="005E673B">
        <w:rPr>
          <w:sz w:val="28"/>
        </w:rPr>
        <w:t xml:space="preserve"> Millions de DA, elles </w:t>
      </w:r>
      <w:r w:rsidRPr="00B02047">
        <w:rPr>
          <w:sz w:val="28"/>
        </w:rPr>
        <w:t xml:space="preserve"> recouvrent </w:t>
      </w:r>
      <w:r w:rsidR="009373B7">
        <w:rPr>
          <w:sz w:val="28"/>
        </w:rPr>
        <w:t xml:space="preserve">essentiellement </w:t>
      </w:r>
      <w:r w:rsidRPr="00B02047">
        <w:rPr>
          <w:sz w:val="28"/>
        </w:rPr>
        <w:t>la nourriture du personnel</w:t>
      </w:r>
      <w:r w:rsidR="00D64EE4">
        <w:rPr>
          <w:sz w:val="28"/>
        </w:rPr>
        <w:t xml:space="preserve">pour un </w:t>
      </w:r>
      <w:r w:rsidR="005B4ED8">
        <w:rPr>
          <w:sz w:val="28"/>
        </w:rPr>
        <w:t>montant de</w:t>
      </w:r>
      <w:r w:rsidR="00280C83">
        <w:rPr>
          <w:sz w:val="28"/>
        </w:rPr>
        <w:t xml:space="preserve"> 31,9 </w:t>
      </w:r>
      <w:r w:rsidR="009F60BC">
        <w:rPr>
          <w:sz w:val="28"/>
        </w:rPr>
        <w:t>Millions de DA,  correspond</w:t>
      </w:r>
      <w:r w:rsidR="00422B2B">
        <w:rPr>
          <w:sz w:val="28"/>
        </w:rPr>
        <w:t xml:space="preserve">ant </w:t>
      </w:r>
      <w:r w:rsidR="009F60BC">
        <w:rPr>
          <w:sz w:val="28"/>
        </w:rPr>
        <w:t xml:space="preserve"> à</w:t>
      </w:r>
      <w:r w:rsidR="00280C83">
        <w:rPr>
          <w:sz w:val="28"/>
        </w:rPr>
        <w:t xml:space="preserve"> 69</w:t>
      </w:r>
      <w:r w:rsidR="000C0B6D">
        <w:rPr>
          <w:sz w:val="28"/>
        </w:rPr>
        <w:t>,2</w:t>
      </w:r>
      <w:r w:rsidR="009F60BC">
        <w:rPr>
          <w:sz w:val="28"/>
        </w:rPr>
        <w:t>% du montant de la rubrique.</w:t>
      </w:r>
    </w:p>
    <w:p w:rsidR="00662C53" w:rsidRDefault="00662C53" w:rsidP="00C71AB7">
      <w:pPr>
        <w:ind w:left="567"/>
        <w:jc w:val="both"/>
        <w:rPr>
          <w:sz w:val="28"/>
        </w:rPr>
      </w:pPr>
    </w:p>
    <w:p w:rsidR="004C56EC" w:rsidRDefault="00422B2B" w:rsidP="00971C3D">
      <w:pPr>
        <w:ind w:left="567"/>
        <w:jc w:val="both"/>
        <w:rPr>
          <w:sz w:val="28"/>
        </w:rPr>
      </w:pPr>
      <w:r>
        <w:rPr>
          <w:sz w:val="28"/>
        </w:rPr>
        <w:t xml:space="preserve">Les </w:t>
      </w:r>
      <w:r w:rsidR="00280C83">
        <w:rPr>
          <w:sz w:val="28"/>
        </w:rPr>
        <w:t xml:space="preserve">dotations semestrielles constituées principalement des </w:t>
      </w:r>
      <w:r w:rsidR="00AE5FEE" w:rsidRPr="009C6195">
        <w:rPr>
          <w:sz w:val="28"/>
        </w:rPr>
        <w:t xml:space="preserve"> annuités</w:t>
      </w:r>
      <w:r w:rsidR="009D17F8" w:rsidRPr="009C6195">
        <w:rPr>
          <w:sz w:val="28"/>
        </w:rPr>
        <w:t>d’amortissement</w:t>
      </w:r>
      <w:r w:rsidR="00971C3D">
        <w:rPr>
          <w:sz w:val="28"/>
        </w:rPr>
        <w:t xml:space="preserve">ont </w:t>
      </w:r>
      <w:r w:rsidR="008B367D">
        <w:rPr>
          <w:sz w:val="28"/>
        </w:rPr>
        <w:t xml:space="preserve">connu </w:t>
      </w:r>
      <w:r w:rsidR="0079673F" w:rsidRPr="009C6195">
        <w:rPr>
          <w:sz w:val="28"/>
        </w:rPr>
        <w:t>une</w:t>
      </w:r>
      <w:r w:rsidR="00280C83">
        <w:rPr>
          <w:sz w:val="28"/>
        </w:rPr>
        <w:t xml:space="preserve">légère hausse </w:t>
      </w:r>
      <w:r w:rsidR="008B367D">
        <w:rPr>
          <w:sz w:val="28"/>
        </w:rPr>
        <w:t>de leur niveau,</w:t>
      </w:r>
      <w:r w:rsidR="0079673F" w:rsidRPr="009C6195">
        <w:rPr>
          <w:sz w:val="28"/>
        </w:rPr>
        <w:t xml:space="preserve"> elle est de l’ordre de</w:t>
      </w:r>
      <w:r w:rsidR="00280C83">
        <w:rPr>
          <w:sz w:val="28"/>
        </w:rPr>
        <w:t xml:space="preserve"> 4,6</w:t>
      </w:r>
      <w:r w:rsidR="00E3123C" w:rsidRPr="009C6195">
        <w:rPr>
          <w:sz w:val="28"/>
        </w:rPr>
        <w:t>%, pour s’établir à</w:t>
      </w:r>
      <w:r w:rsidR="00280C83">
        <w:rPr>
          <w:sz w:val="28"/>
        </w:rPr>
        <w:t xml:space="preserve"> 310,1</w:t>
      </w:r>
      <w:r w:rsidR="005E673B">
        <w:rPr>
          <w:sz w:val="28"/>
        </w:rPr>
        <w:t xml:space="preserve"> M</w:t>
      </w:r>
      <w:r w:rsidR="00E3123C" w:rsidRPr="009C6195">
        <w:rPr>
          <w:sz w:val="28"/>
        </w:rPr>
        <w:t>ill</w:t>
      </w:r>
      <w:r w:rsidR="00D906D8">
        <w:rPr>
          <w:sz w:val="28"/>
        </w:rPr>
        <w:t>ions de DA, dont</w:t>
      </w:r>
      <w:r w:rsidR="00C53046">
        <w:rPr>
          <w:sz w:val="28"/>
        </w:rPr>
        <w:t>un montant de</w:t>
      </w:r>
      <w:r w:rsidR="00280C83">
        <w:rPr>
          <w:sz w:val="28"/>
        </w:rPr>
        <w:t xml:space="preserve"> 222,3</w:t>
      </w:r>
      <w:r w:rsidR="00493CE4">
        <w:rPr>
          <w:sz w:val="28"/>
        </w:rPr>
        <w:t xml:space="preserve"> Millions de DA, </w:t>
      </w:r>
      <w:r w:rsidR="00C53046">
        <w:rPr>
          <w:sz w:val="28"/>
        </w:rPr>
        <w:t>se rapporte</w:t>
      </w:r>
      <w:r>
        <w:rPr>
          <w:sz w:val="28"/>
        </w:rPr>
        <w:t xml:space="preserve"> à</w:t>
      </w:r>
      <w:r w:rsidR="00493CE4">
        <w:rPr>
          <w:sz w:val="28"/>
        </w:rPr>
        <w:t xml:space="preserve"> l’unité EL-</w:t>
      </w:r>
      <w:proofErr w:type="spellStart"/>
      <w:r w:rsidR="00493CE4">
        <w:rPr>
          <w:sz w:val="28"/>
        </w:rPr>
        <w:t>Aurassi</w:t>
      </w:r>
      <w:proofErr w:type="spellEnd"/>
      <w:r w:rsidR="00493CE4">
        <w:rPr>
          <w:sz w:val="28"/>
        </w:rPr>
        <w:t>.</w:t>
      </w:r>
    </w:p>
    <w:p w:rsidR="000C0B6D" w:rsidRDefault="000C0B6D" w:rsidP="000C0B6D">
      <w:pPr>
        <w:ind w:left="567"/>
        <w:jc w:val="both"/>
        <w:rPr>
          <w:sz w:val="28"/>
        </w:rPr>
      </w:pPr>
    </w:p>
    <w:p w:rsidR="000B6A42" w:rsidRDefault="00971C3D" w:rsidP="00971C3D">
      <w:pPr>
        <w:ind w:left="567"/>
        <w:jc w:val="both"/>
        <w:rPr>
          <w:sz w:val="28"/>
        </w:rPr>
      </w:pPr>
      <w:r>
        <w:rPr>
          <w:sz w:val="28"/>
        </w:rPr>
        <w:t xml:space="preserve">Les pertes de valeur affichent </w:t>
      </w:r>
      <w:r w:rsidR="00280C83">
        <w:rPr>
          <w:sz w:val="28"/>
        </w:rPr>
        <w:t xml:space="preserve">une très infime variation au titre  du premier semestre 2022. Elle est d’un montant de 108.300,00 DA et porte sur les pertes de valeur constituées sur le titre </w:t>
      </w:r>
      <w:proofErr w:type="spellStart"/>
      <w:r w:rsidR="00280C83">
        <w:rPr>
          <w:sz w:val="28"/>
        </w:rPr>
        <w:t>Saidal</w:t>
      </w:r>
      <w:proofErr w:type="spellEnd"/>
      <w:r w:rsidR="00280C83">
        <w:rPr>
          <w:sz w:val="28"/>
        </w:rPr>
        <w:t>.</w:t>
      </w:r>
    </w:p>
    <w:p w:rsidR="001E5ADE" w:rsidRDefault="001E5ADE" w:rsidP="00FB22BD">
      <w:pPr>
        <w:tabs>
          <w:tab w:val="left" w:pos="540"/>
        </w:tabs>
        <w:jc w:val="both"/>
        <w:rPr>
          <w:b/>
          <w:color w:val="000080"/>
          <w:sz w:val="32"/>
          <w:u w:val="single"/>
        </w:rPr>
      </w:pPr>
    </w:p>
    <w:p w:rsidR="003F76C7" w:rsidRDefault="003F76C7" w:rsidP="00FB22BD">
      <w:pPr>
        <w:tabs>
          <w:tab w:val="left" w:pos="540"/>
        </w:tabs>
        <w:jc w:val="both"/>
        <w:rPr>
          <w:b/>
          <w:color w:val="000080"/>
          <w:sz w:val="32"/>
          <w:u w:val="single"/>
        </w:rPr>
      </w:pPr>
    </w:p>
    <w:p w:rsidR="003F76C7" w:rsidRDefault="003F76C7" w:rsidP="00FB22BD">
      <w:pPr>
        <w:tabs>
          <w:tab w:val="left" w:pos="540"/>
        </w:tabs>
        <w:jc w:val="both"/>
        <w:rPr>
          <w:b/>
          <w:color w:val="000080"/>
          <w:sz w:val="32"/>
          <w:u w:val="single"/>
        </w:rPr>
      </w:pPr>
    </w:p>
    <w:p w:rsidR="004271BE" w:rsidRDefault="004271BE" w:rsidP="00FB22BD">
      <w:pPr>
        <w:tabs>
          <w:tab w:val="left" w:pos="540"/>
        </w:tabs>
        <w:jc w:val="both"/>
        <w:rPr>
          <w:b/>
          <w:color w:val="000080"/>
          <w:sz w:val="32"/>
          <w:u w:val="single"/>
        </w:rPr>
      </w:pPr>
      <w:bookmarkStart w:id="5" w:name="_GoBack"/>
      <w:bookmarkEnd w:id="5"/>
    </w:p>
    <w:p w:rsidR="003F76C7" w:rsidRDefault="003F76C7" w:rsidP="00FB22BD">
      <w:pPr>
        <w:tabs>
          <w:tab w:val="left" w:pos="540"/>
        </w:tabs>
        <w:jc w:val="both"/>
        <w:rPr>
          <w:b/>
          <w:color w:val="000080"/>
          <w:sz w:val="32"/>
          <w:u w:val="single"/>
        </w:rPr>
      </w:pPr>
    </w:p>
    <w:p w:rsidR="00AE224E" w:rsidRDefault="000744D2" w:rsidP="00FB22BD">
      <w:pPr>
        <w:tabs>
          <w:tab w:val="left" w:pos="540"/>
        </w:tabs>
        <w:jc w:val="both"/>
        <w:rPr>
          <w:b/>
          <w:color w:val="000080"/>
          <w:sz w:val="32"/>
          <w:u w:val="single"/>
        </w:rPr>
      </w:pPr>
      <w:r>
        <w:rPr>
          <w:b/>
          <w:color w:val="000080"/>
          <w:sz w:val="32"/>
          <w:u w:val="single"/>
        </w:rPr>
        <w:lastRenderedPageBreak/>
        <w:t>4</w:t>
      </w:r>
      <w:r w:rsidR="00AE224E">
        <w:rPr>
          <w:b/>
          <w:color w:val="000080"/>
          <w:sz w:val="32"/>
          <w:u w:val="single"/>
        </w:rPr>
        <w:t>-2-</w:t>
      </w:r>
      <w:r w:rsidR="00871B79">
        <w:rPr>
          <w:b/>
          <w:color w:val="000080"/>
          <w:sz w:val="32"/>
          <w:u w:val="single"/>
        </w:rPr>
        <w:t>2</w:t>
      </w:r>
      <w:r w:rsidR="00AE224E">
        <w:rPr>
          <w:b/>
          <w:color w:val="000080"/>
          <w:sz w:val="32"/>
          <w:u w:val="single"/>
        </w:rPr>
        <w:t>-/ Ratios de gestion :</w:t>
      </w:r>
    </w:p>
    <w:p w:rsidR="00EB7144" w:rsidRDefault="00EB7144">
      <w:pPr>
        <w:pStyle w:val="En-tte"/>
        <w:tabs>
          <w:tab w:val="left" w:pos="708"/>
        </w:tabs>
        <w:ind w:left="426"/>
        <w:jc w:val="both"/>
        <w:rPr>
          <w:b/>
          <w:color w:val="000080"/>
          <w:sz w:val="32"/>
          <w:u w:val="single"/>
        </w:rPr>
      </w:pPr>
    </w:p>
    <w:tbl>
      <w:tblPr>
        <w:tblW w:w="10173" w:type="dxa"/>
        <w:jc w:val="center"/>
        <w:tblLayout w:type="fixed"/>
        <w:tblCellMar>
          <w:left w:w="54" w:type="dxa"/>
          <w:right w:w="54" w:type="dxa"/>
        </w:tblCellMar>
        <w:tblLook w:val="0000"/>
      </w:tblPr>
      <w:tblGrid>
        <w:gridCol w:w="3000"/>
        <w:gridCol w:w="918"/>
        <w:gridCol w:w="1432"/>
        <w:gridCol w:w="1432"/>
        <w:gridCol w:w="1255"/>
        <w:gridCol w:w="1103"/>
        <w:gridCol w:w="1033"/>
      </w:tblGrid>
      <w:tr w:rsidR="00956CC1" w:rsidTr="00387149">
        <w:trPr>
          <w:gridAfter w:val="3"/>
          <w:wAfter w:w="3391" w:type="dxa"/>
          <w:cantSplit/>
          <w:trHeight w:val="465"/>
          <w:jc w:val="center"/>
        </w:trPr>
        <w:tc>
          <w:tcPr>
            <w:tcW w:w="3000" w:type="dxa"/>
            <w:vMerge w:val="restart"/>
            <w:tcBorders>
              <w:top w:val="single" w:sz="12" w:space="0" w:color="auto"/>
              <w:left w:val="single" w:sz="12" w:space="0" w:color="auto"/>
              <w:right w:val="single" w:sz="12" w:space="0" w:color="auto"/>
            </w:tcBorders>
            <w:shd w:val="clear" w:color="auto" w:fill="00FFFF"/>
            <w:vAlign w:val="center"/>
          </w:tcPr>
          <w:p w:rsidR="00956CC1" w:rsidRDefault="00956CC1">
            <w:pPr>
              <w:widowControl w:val="0"/>
              <w:autoSpaceDE w:val="0"/>
              <w:autoSpaceDN w:val="0"/>
              <w:adjustRightInd w:val="0"/>
              <w:jc w:val="center"/>
              <w:rPr>
                <w:b/>
                <w:sz w:val="16"/>
              </w:rPr>
            </w:pPr>
            <w:r>
              <w:rPr>
                <w:b/>
                <w:sz w:val="16"/>
              </w:rPr>
              <w:t>RUBRIQUES</w:t>
            </w:r>
          </w:p>
        </w:tc>
        <w:tc>
          <w:tcPr>
            <w:tcW w:w="918" w:type="dxa"/>
            <w:vMerge w:val="restart"/>
            <w:tcBorders>
              <w:top w:val="single" w:sz="12" w:space="0" w:color="auto"/>
              <w:left w:val="single" w:sz="12" w:space="0" w:color="auto"/>
              <w:right w:val="single" w:sz="12" w:space="0" w:color="auto"/>
            </w:tcBorders>
            <w:shd w:val="clear" w:color="auto" w:fill="00FFFF"/>
            <w:vAlign w:val="center"/>
          </w:tcPr>
          <w:p w:rsidR="00956CC1" w:rsidRDefault="00956CC1">
            <w:pPr>
              <w:widowControl w:val="0"/>
              <w:autoSpaceDE w:val="0"/>
              <w:autoSpaceDN w:val="0"/>
              <w:adjustRightInd w:val="0"/>
              <w:jc w:val="center"/>
              <w:rPr>
                <w:b/>
                <w:sz w:val="16"/>
              </w:rPr>
            </w:pPr>
            <w:r>
              <w:rPr>
                <w:b/>
                <w:sz w:val="16"/>
              </w:rPr>
              <w:t>NORMES</w:t>
            </w:r>
          </w:p>
          <w:p w:rsidR="00956CC1" w:rsidRDefault="00956CC1">
            <w:pPr>
              <w:widowControl w:val="0"/>
              <w:autoSpaceDE w:val="0"/>
              <w:autoSpaceDN w:val="0"/>
              <w:adjustRightInd w:val="0"/>
              <w:jc w:val="center"/>
              <w:rPr>
                <w:b/>
                <w:sz w:val="16"/>
              </w:rPr>
            </w:pPr>
            <w:r>
              <w:rPr>
                <w:b/>
                <w:sz w:val="16"/>
              </w:rPr>
              <w:t>ADMISES</w:t>
            </w:r>
          </w:p>
        </w:tc>
        <w:tc>
          <w:tcPr>
            <w:tcW w:w="1432" w:type="dxa"/>
            <w:tcBorders>
              <w:top w:val="single" w:sz="12" w:space="0" w:color="auto"/>
              <w:left w:val="single" w:sz="12" w:space="0" w:color="auto"/>
              <w:bottom w:val="single" w:sz="12" w:space="0" w:color="auto"/>
              <w:right w:val="nil"/>
            </w:tcBorders>
            <w:shd w:val="clear" w:color="auto" w:fill="00FFFF"/>
            <w:vAlign w:val="center"/>
          </w:tcPr>
          <w:p w:rsidR="00956CC1" w:rsidRDefault="00956CC1" w:rsidP="00FE1994">
            <w:pPr>
              <w:widowControl w:val="0"/>
              <w:autoSpaceDE w:val="0"/>
              <w:autoSpaceDN w:val="0"/>
              <w:adjustRightInd w:val="0"/>
              <w:jc w:val="center"/>
              <w:rPr>
                <w:b/>
                <w:sz w:val="16"/>
              </w:rPr>
            </w:pPr>
            <w:r>
              <w:rPr>
                <w:b/>
                <w:sz w:val="16"/>
              </w:rPr>
              <w:t>REALISATIONS</w:t>
            </w:r>
          </w:p>
        </w:tc>
        <w:tc>
          <w:tcPr>
            <w:tcW w:w="1432" w:type="dxa"/>
            <w:tcBorders>
              <w:top w:val="single" w:sz="12" w:space="0" w:color="auto"/>
              <w:left w:val="single" w:sz="12" w:space="0" w:color="auto"/>
              <w:bottom w:val="single" w:sz="4" w:space="0" w:color="auto"/>
              <w:right w:val="single" w:sz="12" w:space="0" w:color="auto"/>
            </w:tcBorders>
            <w:shd w:val="clear" w:color="auto" w:fill="00FFFF"/>
            <w:vAlign w:val="center"/>
          </w:tcPr>
          <w:p w:rsidR="00956CC1" w:rsidRDefault="00956CC1">
            <w:pPr>
              <w:widowControl w:val="0"/>
              <w:autoSpaceDE w:val="0"/>
              <w:autoSpaceDN w:val="0"/>
              <w:adjustRightInd w:val="0"/>
              <w:jc w:val="center"/>
              <w:rPr>
                <w:b/>
                <w:sz w:val="16"/>
              </w:rPr>
            </w:pPr>
            <w:r>
              <w:rPr>
                <w:b/>
                <w:sz w:val="16"/>
              </w:rPr>
              <w:t xml:space="preserve">PREVISIONS  </w:t>
            </w:r>
          </w:p>
          <w:p w:rsidR="00956CC1" w:rsidRDefault="00956CC1" w:rsidP="00B429F2">
            <w:pPr>
              <w:widowControl w:val="0"/>
              <w:autoSpaceDE w:val="0"/>
              <w:autoSpaceDN w:val="0"/>
              <w:adjustRightInd w:val="0"/>
              <w:jc w:val="center"/>
              <w:rPr>
                <w:b/>
                <w:sz w:val="16"/>
              </w:rPr>
            </w:pPr>
          </w:p>
          <w:p w:rsidR="00956CC1" w:rsidRDefault="00956CC1">
            <w:pPr>
              <w:widowControl w:val="0"/>
              <w:autoSpaceDE w:val="0"/>
              <w:autoSpaceDN w:val="0"/>
              <w:adjustRightInd w:val="0"/>
              <w:jc w:val="center"/>
              <w:rPr>
                <w:b/>
                <w:sz w:val="16"/>
              </w:rPr>
            </w:pPr>
          </w:p>
        </w:tc>
      </w:tr>
      <w:tr w:rsidR="00956CC1" w:rsidTr="00387149">
        <w:trPr>
          <w:cantSplit/>
          <w:trHeight w:val="435"/>
          <w:jc w:val="center"/>
        </w:trPr>
        <w:tc>
          <w:tcPr>
            <w:tcW w:w="3000" w:type="dxa"/>
            <w:vMerge/>
            <w:tcBorders>
              <w:left w:val="single" w:sz="12" w:space="0" w:color="auto"/>
              <w:bottom w:val="single" w:sz="12" w:space="0" w:color="auto"/>
              <w:right w:val="single" w:sz="12" w:space="0" w:color="auto"/>
            </w:tcBorders>
            <w:vAlign w:val="center"/>
          </w:tcPr>
          <w:p w:rsidR="00956CC1" w:rsidRDefault="00956CC1">
            <w:pPr>
              <w:widowControl w:val="0"/>
              <w:autoSpaceDE w:val="0"/>
              <w:autoSpaceDN w:val="0"/>
              <w:adjustRightInd w:val="0"/>
              <w:jc w:val="center"/>
              <w:rPr>
                <w:b/>
                <w:sz w:val="16"/>
              </w:rPr>
            </w:pPr>
          </w:p>
        </w:tc>
        <w:tc>
          <w:tcPr>
            <w:tcW w:w="918" w:type="dxa"/>
            <w:vMerge/>
            <w:tcBorders>
              <w:left w:val="single" w:sz="12" w:space="0" w:color="auto"/>
              <w:bottom w:val="single" w:sz="12" w:space="0" w:color="auto"/>
              <w:right w:val="single" w:sz="12" w:space="0" w:color="auto"/>
            </w:tcBorders>
            <w:vAlign w:val="center"/>
          </w:tcPr>
          <w:p w:rsidR="00956CC1" w:rsidRDefault="00956CC1">
            <w:pPr>
              <w:widowControl w:val="0"/>
              <w:autoSpaceDE w:val="0"/>
              <w:autoSpaceDN w:val="0"/>
              <w:adjustRightInd w:val="0"/>
              <w:jc w:val="center"/>
              <w:rPr>
                <w:b/>
                <w:sz w:val="16"/>
              </w:rPr>
            </w:pPr>
          </w:p>
        </w:tc>
        <w:tc>
          <w:tcPr>
            <w:tcW w:w="1432"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Default="00956CC1" w:rsidP="00E449CE">
            <w:pPr>
              <w:widowControl w:val="0"/>
              <w:autoSpaceDE w:val="0"/>
              <w:autoSpaceDN w:val="0"/>
              <w:adjustRightInd w:val="0"/>
              <w:jc w:val="center"/>
              <w:rPr>
                <w:b/>
                <w:sz w:val="16"/>
              </w:rPr>
            </w:pPr>
            <w:r>
              <w:rPr>
                <w:b/>
                <w:sz w:val="16"/>
              </w:rPr>
              <w:t>1er Semestre 20</w:t>
            </w:r>
            <w:r w:rsidR="00C441E7">
              <w:rPr>
                <w:b/>
                <w:sz w:val="16"/>
              </w:rPr>
              <w:t>2</w:t>
            </w:r>
            <w:r w:rsidR="00523DD2">
              <w:rPr>
                <w:b/>
                <w:sz w:val="16"/>
              </w:rPr>
              <w:t>1</w:t>
            </w:r>
          </w:p>
        </w:tc>
        <w:tc>
          <w:tcPr>
            <w:tcW w:w="1432"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Default="00956CC1" w:rsidP="003B0307">
            <w:pPr>
              <w:widowControl w:val="0"/>
              <w:autoSpaceDE w:val="0"/>
              <w:autoSpaceDN w:val="0"/>
              <w:adjustRightInd w:val="0"/>
              <w:jc w:val="center"/>
              <w:rPr>
                <w:b/>
                <w:sz w:val="16"/>
              </w:rPr>
            </w:pPr>
            <w:r>
              <w:rPr>
                <w:b/>
                <w:sz w:val="16"/>
              </w:rPr>
              <w:t>1er Semestre 20</w:t>
            </w:r>
            <w:r w:rsidR="00B27E29">
              <w:rPr>
                <w:b/>
                <w:sz w:val="16"/>
              </w:rPr>
              <w:t>2</w:t>
            </w:r>
            <w:r w:rsidR="00523DD2">
              <w:rPr>
                <w:b/>
                <w:sz w:val="16"/>
              </w:rPr>
              <w:t>2</w:t>
            </w:r>
          </w:p>
        </w:tc>
        <w:tc>
          <w:tcPr>
            <w:tcW w:w="1255"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Default="00956CC1" w:rsidP="001458BE">
            <w:pPr>
              <w:widowControl w:val="0"/>
              <w:autoSpaceDE w:val="0"/>
              <w:autoSpaceDN w:val="0"/>
              <w:adjustRightInd w:val="0"/>
              <w:jc w:val="center"/>
              <w:rPr>
                <w:b/>
                <w:sz w:val="16"/>
              </w:rPr>
            </w:pPr>
            <w:r>
              <w:rPr>
                <w:b/>
                <w:sz w:val="16"/>
              </w:rPr>
              <w:t>Evolution en %</w:t>
            </w:r>
          </w:p>
        </w:tc>
        <w:tc>
          <w:tcPr>
            <w:tcW w:w="1103"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Default="00956CC1" w:rsidP="003B0307">
            <w:pPr>
              <w:widowControl w:val="0"/>
              <w:autoSpaceDE w:val="0"/>
              <w:autoSpaceDN w:val="0"/>
              <w:adjustRightInd w:val="0"/>
              <w:jc w:val="center"/>
              <w:rPr>
                <w:b/>
                <w:sz w:val="16"/>
              </w:rPr>
            </w:pPr>
            <w:r>
              <w:rPr>
                <w:b/>
                <w:sz w:val="16"/>
              </w:rPr>
              <w:t>1er Semestre 20</w:t>
            </w:r>
            <w:r w:rsidR="00523DD2">
              <w:rPr>
                <w:b/>
                <w:sz w:val="16"/>
              </w:rPr>
              <w:t>22</w:t>
            </w:r>
          </w:p>
        </w:tc>
        <w:tc>
          <w:tcPr>
            <w:tcW w:w="1033"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Default="00956CC1" w:rsidP="00910104">
            <w:pPr>
              <w:widowControl w:val="0"/>
              <w:autoSpaceDE w:val="0"/>
              <w:autoSpaceDN w:val="0"/>
              <w:adjustRightInd w:val="0"/>
              <w:jc w:val="center"/>
              <w:rPr>
                <w:b/>
                <w:sz w:val="16"/>
              </w:rPr>
            </w:pPr>
            <w:r>
              <w:rPr>
                <w:b/>
                <w:sz w:val="16"/>
              </w:rPr>
              <w:t>Ecarts en %</w:t>
            </w:r>
          </w:p>
        </w:tc>
      </w:tr>
      <w:tr w:rsidR="00956CC1" w:rsidTr="00387149">
        <w:trPr>
          <w:trHeight w:val="50"/>
          <w:jc w:val="center"/>
        </w:trPr>
        <w:tc>
          <w:tcPr>
            <w:tcW w:w="3000" w:type="dxa"/>
            <w:tcBorders>
              <w:top w:val="single" w:sz="12" w:space="0" w:color="auto"/>
              <w:left w:val="single" w:sz="12" w:space="0" w:color="auto"/>
              <w:bottom w:val="nil"/>
              <w:right w:val="single" w:sz="12" w:space="0" w:color="auto"/>
            </w:tcBorders>
            <w:vAlign w:val="center"/>
          </w:tcPr>
          <w:p w:rsidR="00956CC1" w:rsidRDefault="00956CC1">
            <w:pPr>
              <w:widowControl w:val="0"/>
              <w:autoSpaceDE w:val="0"/>
              <w:autoSpaceDN w:val="0"/>
              <w:adjustRightInd w:val="0"/>
              <w:rPr>
                <w:b/>
                <w:sz w:val="16"/>
              </w:rPr>
            </w:pPr>
            <w:r>
              <w:rPr>
                <w:b/>
                <w:sz w:val="16"/>
              </w:rPr>
              <w:t xml:space="preserve">  RATIO DENREES</w:t>
            </w:r>
          </w:p>
        </w:tc>
        <w:tc>
          <w:tcPr>
            <w:tcW w:w="918" w:type="dxa"/>
            <w:tcBorders>
              <w:top w:val="single" w:sz="12" w:space="0" w:color="auto"/>
              <w:left w:val="single" w:sz="12" w:space="0" w:color="auto"/>
              <w:bottom w:val="nil"/>
              <w:right w:val="single" w:sz="12" w:space="0" w:color="auto"/>
            </w:tcBorders>
            <w:vAlign w:val="center"/>
          </w:tcPr>
          <w:p w:rsidR="00956CC1" w:rsidRPr="003A6736" w:rsidRDefault="00956CC1">
            <w:pPr>
              <w:widowControl w:val="0"/>
              <w:autoSpaceDE w:val="0"/>
              <w:autoSpaceDN w:val="0"/>
              <w:adjustRightInd w:val="0"/>
              <w:jc w:val="center"/>
              <w:rPr>
                <w:b/>
                <w:sz w:val="16"/>
              </w:rPr>
            </w:pPr>
          </w:p>
        </w:tc>
        <w:tc>
          <w:tcPr>
            <w:tcW w:w="1432" w:type="dxa"/>
            <w:vMerge w:val="restart"/>
            <w:tcBorders>
              <w:top w:val="single" w:sz="12" w:space="0" w:color="auto"/>
              <w:left w:val="single" w:sz="12" w:space="0" w:color="auto"/>
              <w:right w:val="single" w:sz="12" w:space="0" w:color="auto"/>
            </w:tcBorders>
            <w:vAlign w:val="center"/>
          </w:tcPr>
          <w:p w:rsidR="00956CC1" w:rsidRPr="001354EF" w:rsidRDefault="00523DD2" w:rsidP="00523DD2">
            <w:pPr>
              <w:widowControl w:val="0"/>
              <w:autoSpaceDE w:val="0"/>
              <w:autoSpaceDN w:val="0"/>
              <w:adjustRightInd w:val="0"/>
              <w:jc w:val="center"/>
              <w:rPr>
                <w:b/>
                <w:sz w:val="16"/>
              </w:rPr>
            </w:pPr>
            <w:r>
              <w:rPr>
                <w:b/>
                <w:sz w:val="16"/>
              </w:rPr>
              <w:t>39,0</w:t>
            </w:r>
            <w:r w:rsidR="00387149">
              <w:rPr>
                <w:b/>
                <w:sz w:val="16"/>
              </w:rPr>
              <w:t>%</w:t>
            </w:r>
          </w:p>
          <w:p w:rsidR="00956CC1" w:rsidRPr="001354EF" w:rsidRDefault="00956CC1" w:rsidP="002F7B0D">
            <w:pPr>
              <w:widowControl w:val="0"/>
              <w:autoSpaceDE w:val="0"/>
              <w:autoSpaceDN w:val="0"/>
              <w:adjustRightInd w:val="0"/>
              <w:jc w:val="center"/>
              <w:rPr>
                <w:b/>
                <w:sz w:val="16"/>
              </w:rPr>
            </w:pPr>
          </w:p>
        </w:tc>
        <w:tc>
          <w:tcPr>
            <w:tcW w:w="1432" w:type="dxa"/>
            <w:tcBorders>
              <w:top w:val="single" w:sz="12" w:space="0" w:color="auto"/>
              <w:left w:val="single" w:sz="12" w:space="0" w:color="auto"/>
              <w:bottom w:val="nil"/>
              <w:right w:val="single" w:sz="12" w:space="0" w:color="auto"/>
            </w:tcBorders>
            <w:vAlign w:val="center"/>
          </w:tcPr>
          <w:p w:rsidR="00956CC1" w:rsidRDefault="00956CC1" w:rsidP="002F7B0D">
            <w:pPr>
              <w:widowControl w:val="0"/>
              <w:autoSpaceDE w:val="0"/>
              <w:autoSpaceDN w:val="0"/>
              <w:adjustRightInd w:val="0"/>
              <w:jc w:val="center"/>
              <w:rPr>
                <w:b/>
                <w:sz w:val="16"/>
              </w:rPr>
            </w:pPr>
          </w:p>
          <w:p w:rsidR="009E40A7" w:rsidRDefault="009E40A7" w:rsidP="002F7B0D">
            <w:pPr>
              <w:widowControl w:val="0"/>
              <w:autoSpaceDE w:val="0"/>
              <w:autoSpaceDN w:val="0"/>
              <w:adjustRightInd w:val="0"/>
              <w:jc w:val="center"/>
              <w:rPr>
                <w:b/>
                <w:sz w:val="16"/>
              </w:rPr>
            </w:pPr>
          </w:p>
          <w:p w:rsidR="009E40A7" w:rsidRPr="001354EF" w:rsidRDefault="00280C83" w:rsidP="00C441E7">
            <w:pPr>
              <w:widowControl w:val="0"/>
              <w:autoSpaceDE w:val="0"/>
              <w:autoSpaceDN w:val="0"/>
              <w:adjustRightInd w:val="0"/>
              <w:jc w:val="center"/>
              <w:rPr>
                <w:b/>
                <w:sz w:val="16"/>
              </w:rPr>
            </w:pPr>
            <w:r>
              <w:rPr>
                <w:b/>
                <w:sz w:val="16"/>
              </w:rPr>
              <w:t>39,1</w:t>
            </w:r>
            <w:r w:rsidR="003B36C7">
              <w:rPr>
                <w:b/>
                <w:sz w:val="16"/>
              </w:rPr>
              <w:t>%</w:t>
            </w:r>
          </w:p>
        </w:tc>
        <w:tc>
          <w:tcPr>
            <w:tcW w:w="1255" w:type="dxa"/>
            <w:vMerge w:val="restart"/>
            <w:tcBorders>
              <w:top w:val="single" w:sz="12" w:space="0" w:color="auto"/>
              <w:left w:val="single" w:sz="12" w:space="0" w:color="auto"/>
              <w:right w:val="single" w:sz="12" w:space="0" w:color="auto"/>
            </w:tcBorders>
            <w:vAlign w:val="center"/>
          </w:tcPr>
          <w:p w:rsidR="00956CC1" w:rsidRDefault="00956CC1" w:rsidP="002F7B0D">
            <w:pPr>
              <w:widowControl w:val="0"/>
              <w:autoSpaceDE w:val="0"/>
              <w:autoSpaceDN w:val="0"/>
              <w:adjustRightInd w:val="0"/>
              <w:jc w:val="center"/>
              <w:rPr>
                <w:b/>
                <w:sz w:val="16"/>
              </w:rPr>
            </w:pPr>
          </w:p>
          <w:p w:rsidR="003E2BF7" w:rsidRPr="001354EF" w:rsidRDefault="00041C34" w:rsidP="002F7B0D">
            <w:pPr>
              <w:widowControl w:val="0"/>
              <w:autoSpaceDE w:val="0"/>
              <w:autoSpaceDN w:val="0"/>
              <w:adjustRightInd w:val="0"/>
              <w:jc w:val="center"/>
              <w:rPr>
                <w:b/>
                <w:sz w:val="16"/>
              </w:rPr>
            </w:pPr>
            <w:r>
              <w:rPr>
                <w:b/>
                <w:sz w:val="16"/>
              </w:rPr>
              <w:t>+0,3</w:t>
            </w:r>
          </w:p>
          <w:p w:rsidR="00956CC1" w:rsidRPr="001354EF" w:rsidRDefault="00956CC1" w:rsidP="00387149">
            <w:pPr>
              <w:rPr>
                <w:b/>
                <w:sz w:val="16"/>
              </w:rPr>
            </w:pPr>
          </w:p>
          <w:p w:rsidR="00956CC1" w:rsidRPr="001354EF" w:rsidRDefault="00956CC1" w:rsidP="002F7B0D">
            <w:pPr>
              <w:jc w:val="center"/>
              <w:rPr>
                <w:b/>
                <w:sz w:val="16"/>
              </w:rPr>
            </w:pPr>
          </w:p>
        </w:tc>
        <w:tc>
          <w:tcPr>
            <w:tcW w:w="1103" w:type="dxa"/>
            <w:tcBorders>
              <w:top w:val="single" w:sz="12" w:space="0" w:color="auto"/>
              <w:left w:val="single" w:sz="12" w:space="0" w:color="auto"/>
              <w:bottom w:val="nil"/>
              <w:right w:val="single" w:sz="12" w:space="0" w:color="auto"/>
            </w:tcBorders>
            <w:vAlign w:val="center"/>
          </w:tcPr>
          <w:p w:rsidR="00956CC1" w:rsidRDefault="00956CC1" w:rsidP="002F7B0D">
            <w:pPr>
              <w:widowControl w:val="0"/>
              <w:autoSpaceDE w:val="0"/>
              <w:autoSpaceDN w:val="0"/>
              <w:adjustRightInd w:val="0"/>
              <w:jc w:val="center"/>
              <w:rPr>
                <w:b/>
                <w:bCs/>
                <w:sz w:val="16"/>
              </w:rPr>
            </w:pPr>
          </w:p>
          <w:p w:rsidR="00276B9D" w:rsidRDefault="00276B9D" w:rsidP="002F7B0D">
            <w:pPr>
              <w:widowControl w:val="0"/>
              <w:autoSpaceDE w:val="0"/>
              <w:autoSpaceDN w:val="0"/>
              <w:adjustRightInd w:val="0"/>
              <w:jc w:val="center"/>
              <w:rPr>
                <w:b/>
                <w:bCs/>
                <w:sz w:val="16"/>
              </w:rPr>
            </w:pPr>
          </w:p>
          <w:p w:rsidR="00276B9D" w:rsidRPr="001354EF" w:rsidRDefault="00B927C2" w:rsidP="002F7B0D">
            <w:pPr>
              <w:widowControl w:val="0"/>
              <w:autoSpaceDE w:val="0"/>
              <w:autoSpaceDN w:val="0"/>
              <w:adjustRightInd w:val="0"/>
              <w:jc w:val="center"/>
              <w:rPr>
                <w:b/>
                <w:bCs/>
                <w:sz w:val="16"/>
              </w:rPr>
            </w:pPr>
            <w:r>
              <w:rPr>
                <w:b/>
                <w:bCs/>
                <w:sz w:val="16"/>
              </w:rPr>
              <w:t>33,7%</w:t>
            </w:r>
          </w:p>
        </w:tc>
        <w:tc>
          <w:tcPr>
            <w:tcW w:w="1033" w:type="dxa"/>
            <w:tcBorders>
              <w:top w:val="single" w:sz="12" w:space="0" w:color="auto"/>
              <w:left w:val="single" w:sz="12" w:space="0" w:color="auto"/>
              <w:bottom w:val="nil"/>
              <w:right w:val="single" w:sz="12" w:space="0" w:color="auto"/>
            </w:tcBorders>
            <w:vAlign w:val="center"/>
          </w:tcPr>
          <w:p w:rsidR="00956CC1" w:rsidRDefault="00956CC1" w:rsidP="002F7B0D">
            <w:pPr>
              <w:widowControl w:val="0"/>
              <w:autoSpaceDE w:val="0"/>
              <w:autoSpaceDN w:val="0"/>
              <w:adjustRightInd w:val="0"/>
              <w:jc w:val="center"/>
              <w:rPr>
                <w:b/>
                <w:sz w:val="16"/>
              </w:rPr>
            </w:pPr>
          </w:p>
          <w:p w:rsidR="003E2BF7" w:rsidRDefault="003E2BF7" w:rsidP="002F7B0D">
            <w:pPr>
              <w:widowControl w:val="0"/>
              <w:autoSpaceDE w:val="0"/>
              <w:autoSpaceDN w:val="0"/>
              <w:adjustRightInd w:val="0"/>
              <w:jc w:val="center"/>
              <w:rPr>
                <w:b/>
                <w:sz w:val="16"/>
              </w:rPr>
            </w:pPr>
          </w:p>
          <w:p w:rsidR="003E2BF7" w:rsidRPr="001354EF" w:rsidRDefault="00041C34" w:rsidP="00523DD2">
            <w:pPr>
              <w:widowControl w:val="0"/>
              <w:autoSpaceDE w:val="0"/>
              <w:autoSpaceDN w:val="0"/>
              <w:adjustRightInd w:val="0"/>
              <w:rPr>
                <w:b/>
                <w:sz w:val="16"/>
              </w:rPr>
            </w:pPr>
            <w:r>
              <w:rPr>
                <w:b/>
                <w:sz w:val="16"/>
              </w:rPr>
              <w:t xml:space="preserve">       -16,0</w:t>
            </w:r>
          </w:p>
        </w:tc>
      </w:tr>
      <w:tr w:rsidR="00956CC1" w:rsidTr="00387149">
        <w:trPr>
          <w:cantSplit/>
          <w:trHeight w:val="80"/>
          <w:jc w:val="center"/>
        </w:trPr>
        <w:tc>
          <w:tcPr>
            <w:tcW w:w="3000" w:type="dxa"/>
            <w:tcBorders>
              <w:top w:val="nil"/>
              <w:left w:val="single" w:sz="12" w:space="0" w:color="auto"/>
              <w:bottom w:val="nil"/>
              <w:right w:val="single" w:sz="12" w:space="0" w:color="auto"/>
            </w:tcBorders>
            <w:vAlign w:val="center"/>
          </w:tcPr>
          <w:p w:rsidR="00956CC1" w:rsidRDefault="00956CC1">
            <w:pPr>
              <w:widowControl w:val="0"/>
              <w:autoSpaceDE w:val="0"/>
              <w:autoSpaceDN w:val="0"/>
              <w:adjustRightInd w:val="0"/>
              <w:rPr>
                <w:sz w:val="16"/>
                <w:u w:val="single"/>
              </w:rPr>
            </w:pPr>
            <w:r>
              <w:rPr>
                <w:sz w:val="16"/>
                <w:u w:val="single"/>
              </w:rPr>
              <w:t>COUT DES DENREES</w:t>
            </w:r>
          </w:p>
        </w:tc>
        <w:tc>
          <w:tcPr>
            <w:tcW w:w="918" w:type="dxa"/>
            <w:vMerge w:val="restart"/>
            <w:tcBorders>
              <w:top w:val="nil"/>
              <w:left w:val="single" w:sz="12" w:space="0" w:color="auto"/>
              <w:right w:val="single" w:sz="12" w:space="0" w:color="auto"/>
            </w:tcBorders>
            <w:vAlign w:val="center"/>
          </w:tcPr>
          <w:p w:rsidR="00956CC1" w:rsidRDefault="00956CC1" w:rsidP="00FF6ABF">
            <w:pPr>
              <w:widowControl w:val="0"/>
              <w:autoSpaceDE w:val="0"/>
              <w:autoSpaceDN w:val="0"/>
              <w:adjustRightInd w:val="0"/>
              <w:jc w:val="center"/>
              <w:rPr>
                <w:b/>
                <w:sz w:val="16"/>
              </w:rPr>
            </w:pPr>
            <w:r>
              <w:rPr>
                <w:b/>
                <w:sz w:val="16"/>
              </w:rPr>
              <w:t>31%</w:t>
            </w:r>
          </w:p>
          <w:p w:rsidR="00956CC1" w:rsidRPr="003A6736" w:rsidRDefault="00956CC1" w:rsidP="00FF6ABF">
            <w:pPr>
              <w:widowControl w:val="0"/>
              <w:autoSpaceDE w:val="0"/>
              <w:autoSpaceDN w:val="0"/>
              <w:adjustRightInd w:val="0"/>
              <w:jc w:val="center"/>
              <w:rPr>
                <w:b/>
                <w:sz w:val="16"/>
              </w:rPr>
            </w:pPr>
            <w:r>
              <w:rPr>
                <w:b/>
                <w:sz w:val="16"/>
              </w:rPr>
              <w:t>à</w:t>
            </w:r>
          </w:p>
          <w:p w:rsidR="00956CC1" w:rsidRPr="003A6736" w:rsidRDefault="00956CC1" w:rsidP="00FF6ABF">
            <w:pPr>
              <w:widowControl w:val="0"/>
              <w:autoSpaceDE w:val="0"/>
              <w:autoSpaceDN w:val="0"/>
              <w:adjustRightInd w:val="0"/>
              <w:jc w:val="center"/>
              <w:rPr>
                <w:b/>
                <w:sz w:val="16"/>
              </w:rPr>
            </w:pPr>
            <w:r>
              <w:rPr>
                <w:b/>
                <w:sz w:val="16"/>
              </w:rPr>
              <w:t>35%</w:t>
            </w:r>
          </w:p>
        </w:tc>
        <w:tc>
          <w:tcPr>
            <w:tcW w:w="1432" w:type="dxa"/>
            <w:vMerge/>
            <w:tcBorders>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432" w:type="dxa"/>
            <w:vMerge w:val="restart"/>
            <w:tcBorders>
              <w:top w:val="nil"/>
              <w:left w:val="single" w:sz="12" w:space="0" w:color="auto"/>
              <w:right w:val="single" w:sz="12" w:space="0" w:color="auto"/>
            </w:tcBorders>
            <w:vAlign w:val="center"/>
          </w:tcPr>
          <w:p w:rsidR="00956CC1" w:rsidRPr="001354EF" w:rsidRDefault="00956CC1" w:rsidP="009E40A7">
            <w:pPr>
              <w:widowControl w:val="0"/>
              <w:autoSpaceDE w:val="0"/>
              <w:autoSpaceDN w:val="0"/>
              <w:adjustRightInd w:val="0"/>
              <w:rPr>
                <w:b/>
                <w:sz w:val="16"/>
              </w:rPr>
            </w:pPr>
          </w:p>
        </w:tc>
        <w:tc>
          <w:tcPr>
            <w:tcW w:w="1255" w:type="dxa"/>
            <w:vMerge/>
            <w:tcBorders>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103" w:type="dxa"/>
            <w:vMerge w:val="restart"/>
            <w:tcBorders>
              <w:top w:val="nil"/>
              <w:left w:val="single" w:sz="12" w:space="0" w:color="auto"/>
              <w:right w:val="single" w:sz="12" w:space="0" w:color="auto"/>
            </w:tcBorders>
            <w:vAlign w:val="center"/>
          </w:tcPr>
          <w:p w:rsidR="00956CC1" w:rsidRPr="001354EF" w:rsidRDefault="00956CC1" w:rsidP="00387149">
            <w:pPr>
              <w:widowControl w:val="0"/>
              <w:autoSpaceDE w:val="0"/>
              <w:autoSpaceDN w:val="0"/>
              <w:adjustRightInd w:val="0"/>
              <w:rPr>
                <w:b/>
                <w:sz w:val="16"/>
              </w:rPr>
            </w:pPr>
          </w:p>
        </w:tc>
        <w:tc>
          <w:tcPr>
            <w:tcW w:w="1033" w:type="dxa"/>
            <w:vMerge w:val="restart"/>
            <w:tcBorders>
              <w:top w:val="nil"/>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r>
      <w:tr w:rsidR="00956CC1" w:rsidTr="00387149">
        <w:trPr>
          <w:cantSplit/>
          <w:trHeight w:val="314"/>
          <w:jc w:val="center"/>
        </w:trPr>
        <w:tc>
          <w:tcPr>
            <w:tcW w:w="3000" w:type="dxa"/>
            <w:tcBorders>
              <w:top w:val="nil"/>
              <w:left w:val="single" w:sz="12" w:space="0" w:color="auto"/>
              <w:bottom w:val="single" w:sz="12" w:space="0" w:color="auto"/>
              <w:right w:val="single" w:sz="12" w:space="0" w:color="auto"/>
            </w:tcBorders>
            <w:vAlign w:val="center"/>
          </w:tcPr>
          <w:p w:rsidR="00956CC1" w:rsidRDefault="00956CC1">
            <w:pPr>
              <w:widowControl w:val="0"/>
              <w:autoSpaceDE w:val="0"/>
              <w:autoSpaceDN w:val="0"/>
              <w:adjustRightInd w:val="0"/>
              <w:rPr>
                <w:sz w:val="16"/>
              </w:rPr>
            </w:pPr>
            <w:r>
              <w:rPr>
                <w:sz w:val="16"/>
              </w:rPr>
              <w:t xml:space="preserve">     CA DENREES</w:t>
            </w:r>
          </w:p>
        </w:tc>
        <w:tc>
          <w:tcPr>
            <w:tcW w:w="918" w:type="dxa"/>
            <w:vMerge/>
            <w:tcBorders>
              <w:left w:val="single" w:sz="12" w:space="0" w:color="auto"/>
              <w:bottom w:val="single" w:sz="12" w:space="0" w:color="auto"/>
              <w:right w:val="single" w:sz="12" w:space="0" w:color="auto"/>
            </w:tcBorders>
            <w:vAlign w:val="center"/>
          </w:tcPr>
          <w:p w:rsidR="00956CC1" w:rsidRPr="003A6736" w:rsidRDefault="00956CC1">
            <w:pPr>
              <w:widowControl w:val="0"/>
              <w:autoSpaceDE w:val="0"/>
              <w:autoSpaceDN w:val="0"/>
              <w:adjustRightInd w:val="0"/>
              <w:jc w:val="center"/>
              <w:rPr>
                <w:b/>
                <w:sz w:val="16"/>
              </w:rPr>
            </w:pPr>
          </w:p>
        </w:tc>
        <w:tc>
          <w:tcPr>
            <w:tcW w:w="1432"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432"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255"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103"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033"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r>
      <w:tr w:rsidR="00956CC1" w:rsidTr="00387149">
        <w:trPr>
          <w:trHeight w:val="382"/>
          <w:jc w:val="center"/>
        </w:trPr>
        <w:tc>
          <w:tcPr>
            <w:tcW w:w="3000" w:type="dxa"/>
            <w:tcBorders>
              <w:top w:val="single" w:sz="12" w:space="0" w:color="auto"/>
              <w:left w:val="single" w:sz="12" w:space="0" w:color="auto"/>
              <w:bottom w:val="nil"/>
              <w:right w:val="single" w:sz="12" w:space="0" w:color="auto"/>
            </w:tcBorders>
            <w:vAlign w:val="center"/>
          </w:tcPr>
          <w:p w:rsidR="00956CC1" w:rsidRDefault="00956CC1">
            <w:pPr>
              <w:widowControl w:val="0"/>
              <w:autoSpaceDE w:val="0"/>
              <w:autoSpaceDN w:val="0"/>
              <w:adjustRightInd w:val="0"/>
              <w:rPr>
                <w:b/>
                <w:sz w:val="16"/>
              </w:rPr>
            </w:pPr>
            <w:r>
              <w:rPr>
                <w:b/>
                <w:sz w:val="16"/>
              </w:rPr>
              <w:t xml:space="preserve"> RATIO BOISSONS 1</w:t>
            </w:r>
          </w:p>
        </w:tc>
        <w:tc>
          <w:tcPr>
            <w:tcW w:w="918" w:type="dxa"/>
            <w:tcBorders>
              <w:top w:val="single" w:sz="12" w:space="0" w:color="auto"/>
              <w:left w:val="single" w:sz="12" w:space="0" w:color="auto"/>
              <w:bottom w:val="nil"/>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p>
        </w:tc>
        <w:tc>
          <w:tcPr>
            <w:tcW w:w="1432" w:type="dxa"/>
            <w:vMerge w:val="restart"/>
            <w:tcBorders>
              <w:top w:val="single" w:sz="12" w:space="0" w:color="auto"/>
              <w:left w:val="single" w:sz="12" w:space="0" w:color="auto"/>
              <w:right w:val="single" w:sz="12" w:space="0" w:color="auto"/>
            </w:tcBorders>
            <w:vAlign w:val="center"/>
          </w:tcPr>
          <w:p w:rsidR="00956CC1" w:rsidRPr="001354EF" w:rsidRDefault="00523DD2" w:rsidP="00523DD2">
            <w:pPr>
              <w:widowControl w:val="0"/>
              <w:autoSpaceDE w:val="0"/>
              <w:autoSpaceDN w:val="0"/>
              <w:adjustRightInd w:val="0"/>
              <w:rPr>
                <w:b/>
                <w:sz w:val="16"/>
              </w:rPr>
            </w:pPr>
            <w:r>
              <w:rPr>
                <w:b/>
                <w:sz w:val="16"/>
              </w:rPr>
              <w:t>26,8</w:t>
            </w:r>
            <w:r w:rsidR="00387149">
              <w:rPr>
                <w:b/>
                <w:sz w:val="16"/>
              </w:rPr>
              <w:t>%</w:t>
            </w:r>
          </w:p>
          <w:p w:rsidR="00956CC1" w:rsidRPr="001354EF" w:rsidRDefault="00956CC1" w:rsidP="008976C2">
            <w:pPr>
              <w:widowControl w:val="0"/>
              <w:autoSpaceDE w:val="0"/>
              <w:autoSpaceDN w:val="0"/>
              <w:adjustRightInd w:val="0"/>
              <w:jc w:val="center"/>
              <w:rPr>
                <w:b/>
                <w:sz w:val="16"/>
              </w:rPr>
            </w:pPr>
          </w:p>
        </w:tc>
        <w:tc>
          <w:tcPr>
            <w:tcW w:w="1432" w:type="dxa"/>
            <w:tcBorders>
              <w:top w:val="single" w:sz="12" w:space="0" w:color="auto"/>
              <w:left w:val="single" w:sz="12" w:space="0" w:color="auto"/>
              <w:bottom w:val="nil"/>
              <w:right w:val="single" w:sz="12" w:space="0" w:color="auto"/>
            </w:tcBorders>
            <w:vAlign w:val="center"/>
          </w:tcPr>
          <w:p w:rsidR="00956CC1" w:rsidRDefault="00956CC1" w:rsidP="00B27E29">
            <w:pPr>
              <w:widowControl w:val="0"/>
              <w:autoSpaceDE w:val="0"/>
              <w:autoSpaceDN w:val="0"/>
              <w:adjustRightInd w:val="0"/>
              <w:rPr>
                <w:b/>
                <w:sz w:val="16"/>
              </w:rPr>
            </w:pPr>
          </w:p>
          <w:p w:rsidR="009E40A7" w:rsidRDefault="009E40A7" w:rsidP="00B27E29">
            <w:pPr>
              <w:widowControl w:val="0"/>
              <w:autoSpaceDE w:val="0"/>
              <w:autoSpaceDN w:val="0"/>
              <w:adjustRightInd w:val="0"/>
              <w:rPr>
                <w:b/>
                <w:sz w:val="16"/>
              </w:rPr>
            </w:pPr>
          </w:p>
          <w:p w:rsidR="009E40A7" w:rsidRPr="001354EF" w:rsidRDefault="00435B5E" w:rsidP="00C441E7">
            <w:pPr>
              <w:widowControl w:val="0"/>
              <w:autoSpaceDE w:val="0"/>
              <w:autoSpaceDN w:val="0"/>
              <w:adjustRightInd w:val="0"/>
              <w:rPr>
                <w:b/>
                <w:sz w:val="16"/>
              </w:rPr>
            </w:pPr>
            <w:r>
              <w:rPr>
                <w:b/>
                <w:sz w:val="16"/>
              </w:rPr>
              <w:t>21,2</w:t>
            </w:r>
            <w:r w:rsidR="003B36C7">
              <w:rPr>
                <w:b/>
                <w:sz w:val="16"/>
              </w:rPr>
              <w:t>%</w:t>
            </w:r>
          </w:p>
        </w:tc>
        <w:tc>
          <w:tcPr>
            <w:tcW w:w="1255" w:type="dxa"/>
            <w:vMerge w:val="restart"/>
            <w:tcBorders>
              <w:top w:val="single" w:sz="12" w:space="0" w:color="auto"/>
              <w:left w:val="single" w:sz="12" w:space="0" w:color="auto"/>
              <w:right w:val="single" w:sz="12" w:space="0" w:color="auto"/>
            </w:tcBorders>
            <w:vAlign w:val="center"/>
          </w:tcPr>
          <w:p w:rsidR="00956CC1" w:rsidRPr="001354EF" w:rsidRDefault="00041C34" w:rsidP="002F7B0D">
            <w:pPr>
              <w:widowControl w:val="0"/>
              <w:autoSpaceDE w:val="0"/>
              <w:autoSpaceDN w:val="0"/>
              <w:adjustRightInd w:val="0"/>
              <w:jc w:val="center"/>
              <w:rPr>
                <w:b/>
                <w:sz w:val="16"/>
              </w:rPr>
            </w:pPr>
            <w:r>
              <w:rPr>
                <w:b/>
                <w:sz w:val="16"/>
              </w:rPr>
              <w:t>-20,9</w:t>
            </w:r>
          </w:p>
          <w:p w:rsidR="00956CC1" w:rsidRPr="001354EF" w:rsidRDefault="00956CC1" w:rsidP="007762A1">
            <w:pPr>
              <w:rPr>
                <w:b/>
                <w:sz w:val="16"/>
              </w:rPr>
            </w:pPr>
          </w:p>
        </w:tc>
        <w:tc>
          <w:tcPr>
            <w:tcW w:w="1103" w:type="dxa"/>
            <w:tcBorders>
              <w:top w:val="single" w:sz="12" w:space="0" w:color="auto"/>
              <w:left w:val="single" w:sz="12" w:space="0" w:color="auto"/>
              <w:bottom w:val="nil"/>
              <w:right w:val="single" w:sz="12" w:space="0" w:color="auto"/>
            </w:tcBorders>
            <w:vAlign w:val="center"/>
          </w:tcPr>
          <w:p w:rsidR="00956CC1" w:rsidRDefault="00956CC1" w:rsidP="002F7B0D">
            <w:pPr>
              <w:widowControl w:val="0"/>
              <w:autoSpaceDE w:val="0"/>
              <w:autoSpaceDN w:val="0"/>
              <w:adjustRightInd w:val="0"/>
              <w:jc w:val="center"/>
              <w:rPr>
                <w:b/>
                <w:bCs/>
                <w:sz w:val="16"/>
              </w:rPr>
            </w:pPr>
          </w:p>
          <w:p w:rsidR="00276B9D" w:rsidRDefault="00276B9D" w:rsidP="002F7B0D">
            <w:pPr>
              <w:widowControl w:val="0"/>
              <w:autoSpaceDE w:val="0"/>
              <w:autoSpaceDN w:val="0"/>
              <w:adjustRightInd w:val="0"/>
              <w:jc w:val="center"/>
              <w:rPr>
                <w:b/>
                <w:bCs/>
                <w:sz w:val="16"/>
              </w:rPr>
            </w:pPr>
          </w:p>
          <w:p w:rsidR="00276B9D" w:rsidRPr="001354EF" w:rsidRDefault="00B927C2" w:rsidP="002F7B0D">
            <w:pPr>
              <w:widowControl w:val="0"/>
              <w:autoSpaceDE w:val="0"/>
              <w:autoSpaceDN w:val="0"/>
              <w:adjustRightInd w:val="0"/>
              <w:jc w:val="center"/>
              <w:rPr>
                <w:b/>
                <w:bCs/>
                <w:sz w:val="16"/>
              </w:rPr>
            </w:pPr>
            <w:r>
              <w:rPr>
                <w:b/>
                <w:bCs/>
                <w:sz w:val="16"/>
              </w:rPr>
              <w:t>22,7%</w:t>
            </w:r>
          </w:p>
        </w:tc>
        <w:tc>
          <w:tcPr>
            <w:tcW w:w="1033" w:type="dxa"/>
            <w:tcBorders>
              <w:top w:val="single" w:sz="12" w:space="0" w:color="auto"/>
              <w:left w:val="single" w:sz="12" w:space="0" w:color="auto"/>
              <w:bottom w:val="nil"/>
              <w:right w:val="single" w:sz="12" w:space="0" w:color="auto"/>
            </w:tcBorders>
            <w:vAlign w:val="center"/>
          </w:tcPr>
          <w:p w:rsidR="00956CC1" w:rsidRDefault="00956CC1" w:rsidP="002F7B0D">
            <w:pPr>
              <w:widowControl w:val="0"/>
              <w:autoSpaceDE w:val="0"/>
              <w:autoSpaceDN w:val="0"/>
              <w:adjustRightInd w:val="0"/>
              <w:jc w:val="center"/>
              <w:rPr>
                <w:b/>
                <w:sz w:val="16"/>
              </w:rPr>
            </w:pPr>
          </w:p>
          <w:p w:rsidR="003E2BF7" w:rsidRDefault="003E2BF7" w:rsidP="002F7B0D">
            <w:pPr>
              <w:widowControl w:val="0"/>
              <w:autoSpaceDE w:val="0"/>
              <w:autoSpaceDN w:val="0"/>
              <w:adjustRightInd w:val="0"/>
              <w:jc w:val="center"/>
              <w:rPr>
                <w:b/>
                <w:sz w:val="16"/>
              </w:rPr>
            </w:pPr>
          </w:p>
          <w:p w:rsidR="003E2BF7" w:rsidRPr="001354EF" w:rsidRDefault="00041C34" w:rsidP="003E2BF7">
            <w:pPr>
              <w:widowControl w:val="0"/>
              <w:autoSpaceDE w:val="0"/>
              <w:autoSpaceDN w:val="0"/>
              <w:adjustRightInd w:val="0"/>
              <w:jc w:val="center"/>
              <w:rPr>
                <w:b/>
                <w:sz w:val="16"/>
              </w:rPr>
            </w:pPr>
            <w:r>
              <w:rPr>
                <w:b/>
                <w:sz w:val="16"/>
              </w:rPr>
              <w:t>+6,6</w:t>
            </w:r>
          </w:p>
        </w:tc>
      </w:tr>
      <w:tr w:rsidR="00956CC1" w:rsidTr="00387149">
        <w:trPr>
          <w:cantSplit/>
          <w:trHeight w:val="172"/>
          <w:jc w:val="center"/>
        </w:trPr>
        <w:tc>
          <w:tcPr>
            <w:tcW w:w="3000" w:type="dxa"/>
            <w:tcBorders>
              <w:top w:val="nil"/>
              <w:left w:val="single" w:sz="12" w:space="0" w:color="auto"/>
              <w:bottom w:val="nil"/>
              <w:right w:val="single" w:sz="12" w:space="0" w:color="auto"/>
            </w:tcBorders>
            <w:vAlign w:val="center"/>
          </w:tcPr>
          <w:p w:rsidR="00956CC1" w:rsidRDefault="00956CC1">
            <w:pPr>
              <w:widowControl w:val="0"/>
              <w:autoSpaceDE w:val="0"/>
              <w:autoSpaceDN w:val="0"/>
              <w:adjustRightInd w:val="0"/>
              <w:rPr>
                <w:sz w:val="16"/>
                <w:u w:val="single"/>
              </w:rPr>
            </w:pPr>
            <w:r>
              <w:rPr>
                <w:sz w:val="16"/>
                <w:u w:val="single"/>
              </w:rPr>
              <w:t>COUT DES BOISSONS</w:t>
            </w:r>
          </w:p>
        </w:tc>
        <w:tc>
          <w:tcPr>
            <w:tcW w:w="918" w:type="dxa"/>
            <w:vMerge w:val="restart"/>
            <w:tcBorders>
              <w:top w:val="nil"/>
              <w:left w:val="single" w:sz="12" w:space="0" w:color="auto"/>
              <w:right w:val="single" w:sz="12" w:space="0" w:color="auto"/>
            </w:tcBorders>
            <w:vAlign w:val="center"/>
          </w:tcPr>
          <w:p w:rsidR="00956CC1" w:rsidRDefault="00956CC1" w:rsidP="00FF6ABF">
            <w:pPr>
              <w:widowControl w:val="0"/>
              <w:autoSpaceDE w:val="0"/>
              <w:autoSpaceDN w:val="0"/>
              <w:adjustRightInd w:val="0"/>
              <w:jc w:val="center"/>
              <w:rPr>
                <w:b/>
                <w:sz w:val="16"/>
              </w:rPr>
            </w:pPr>
            <w:r>
              <w:rPr>
                <w:b/>
                <w:sz w:val="16"/>
              </w:rPr>
              <w:t>23%</w:t>
            </w:r>
          </w:p>
          <w:p w:rsidR="00956CC1" w:rsidRPr="003A6736" w:rsidRDefault="00956CC1" w:rsidP="00FF6ABF">
            <w:pPr>
              <w:widowControl w:val="0"/>
              <w:autoSpaceDE w:val="0"/>
              <w:autoSpaceDN w:val="0"/>
              <w:adjustRightInd w:val="0"/>
              <w:jc w:val="center"/>
              <w:rPr>
                <w:b/>
                <w:sz w:val="16"/>
              </w:rPr>
            </w:pPr>
            <w:r>
              <w:rPr>
                <w:b/>
                <w:sz w:val="16"/>
              </w:rPr>
              <w:t>à</w:t>
            </w:r>
          </w:p>
          <w:p w:rsidR="00956CC1" w:rsidRPr="003A6736" w:rsidRDefault="00956CC1" w:rsidP="00FF6ABF">
            <w:pPr>
              <w:widowControl w:val="0"/>
              <w:autoSpaceDE w:val="0"/>
              <w:autoSpaceDN w:val="0"/>
              <w:adjustRightInd w:val="0"/>
              <w:jc w:val="center"/>
              <w:rPr>
                <w:b/>
                <w:sz w:val="16"/>
              </w:rPr>
            </w:pPr>
            <w:r>
              <w:rPr>
                <w:b/>
                <w:sz w:val="16"/>
              </w:rPr>
              <w:t>27%</w:t>
            </w:r>
          </w:p>
        </w:tc>
        <w:tc>
          <w:tcPr>
            <w:tcW w:w="1432" w:type="dxa"/>
            <w:vMerge/>
            <w:tcBorders>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432" w:type="dxa"/>
            <w:vMerge w:val="restart"/>
            <w:tcBorders>
              <w:top w:val="nil"/>
              <w:left w:val="single" w:sz="12" w:space="0" w:color="auto"/>
              <w:right w:val="single" w:sz="12" w:space="0" w:color="auto"/>
            </w:tcBorders>
            <w:vAlign w:val="center"/>
          </w:tcPr>
          <w:p w:rsidR="00956CC1" w:rsidRPr="001354EF" w:rsidRDefault="00956CC1" w:rsidP="00B27E29">
            <w:pPr>
              <w:widowControl w:val="0"/>
              <w:autoSpaceDE w:val="0"/>
              <w:autoSpaceDN w:val="0"/>
              <w:adjustRightInd w:val="0"/>
              <w:rPr>
                <w:b/>
                <w:sz w:val="16"/>
              </w:rPr>
            </w:pPr>
          </w:p>
        </w:tc>
        <w:tc>
          <w:tcPr>
            <w:tcW w:w="1255" w:type="dxa"/>
            <w:vMerge/>
            <w:tcBorders>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103" w:type="dxa"/>
            <w:vMerge w:val="restart"/>
            <w:tcBorders>
              <w:top w:val="nil"/>
              <w:left w:val="single" w:sz="12" w:space="0" w:color="auto"/>
              <w:right w:val="single" w:sz="12" w:space="0" w:color="auto"/>
            </w:tcBorders>
            <w:vAlign w:val="center"/>
          </w:tcPr>
          <w:p w:rsidR="00956CC1" w:rsidRPr="001354EF" w:rsidRDefault="00956CC1" w:rsidP="00387149">
            <w:pPr>
              <w:widowControl w:val="0"/>
              <w:autoSpaceDE w:val="0"/>
              <w:autoSpaceDN w:val="0"/>
              <w:adjustRightInd w:val="0"/>
              <w:rPr>
                <w:b/>
                <w:bCs/>
                <w:sz w:val="16"/>
              </w:rPr>
            </w:pPr>
          </w:p>
        </w:tc>
        <w:tc>
          <w:tcPr>
            <w:tcW w:w="1033" w:type="dxa"/>
            <w:vMerge w:val="restart"/>
            <w:tcBorders>
              <w:top w:val="nil"/>
              <w:left w:val="single" w:sz="12" w:space="0" w:color="auto"/>
              <w:right w:val="single" w:sz="12" w:space="0" w:color="auto"/>
            </w:tcBorders>
            <w:vAlign w:val="center"/>
          </w:tcPr>
          <w:p w:rsidR="00956CC1" w:rsidRPr="001354EF" w:rsidRDefault="00956CC1" w:rsidP="00387149">
            <w:pPr>
              <w:widowControl w:val="0"/>
              <w:autoSpaceDE w:val="0"/>
              <w:autoSpaceDN w:val="0"/>
              <w:adjustRightInd w:val="0"/>
              <w:rPr>
                <w:b/>
                <w:sz w:val="16"/>
              </w:rPr>
            </w:pPr>
          </w:p>
        </w:tc>
      </w:tr>
      <w:tr w:rsidR="00956CC1" w:rsidTr="00387149">
        <w:trPr>
          <w:cantSplit/>
          <w:trHeight w:val="206"/>
          <w:jc w:val="center"/>
        </w:trPr>
        <w:tc>
          <w:tcPr>
            <w:tcW w:w="3000" w:type="dxa"/>
            <w:tcBorders>
              <w:top w:val="nil"/>
              <w:left w:val="single" w:sz="12" w:space="0" w:color="auto"/>
              <w:bottom w:val="single" w:sz="12" w:space="0" w:color="auto"/>
              <w:right w:val="single" w:sz="12" w:space="0" w:color="auto"/>
            </w:tcBorders>
            <w:vAlign w:val="center"/>
          </w:tcPr>
          <w:p w:rsidR="00956CC1" w:rsidRDefault="00956CC1">
            <w:pPr>
              <w:widowControl w:val="0"/>
              <w:autoSpaceDE w:val="0"/>
              <w:autoSpaceDN w:val="0"/>
              <w:adjustRightInd w:val="0"/>
              <w:rPr>
                <w:sz w:val="16"/>
              </w:rPr>
            </w:pPr>
            <w:r>
              <w:rPr>
                <w:sz w:val="16"/>
              </w:rPr>
              <w:t xml:space="preserve">     CA BOISSONS</w:t>
            </w:r>
          </w:p>
        </w:tc>
        <w:tc>
          <w:tcPr>
            <w:tcW w:w="918" w:type="dxa"/>
            <w:vMerge/>
            <w:tcBorders>
              <w:left w:val="single" w:sz="12" w:space="0" w:color="auto"/>
              <w:bottom w:val="single" w:sz="12" w:space="0" w:color="auto"/>
              <w:right w:val="single" w:sz="12" w:space="0" w:color="auto"/>
            </w:tcBorders>
            <w:vAlign w:val="center"/>
          </w:tcPr>
          <w:p w:rsidR="00956CC1" w:rsidRPr="003A6736" w:rsidRDefault="00956CC1">
            <w:pPr>
              <w:widowControl w:val="0"/>
              <w:autoSpaceDE w:val="0"/>
              <w:autoSpaceDN w:val="0"/>
              <w:adjustRightInd w:val="0"/>
              <w:jc w:val="center"/>
              <w:rPr>
                <w:b/>
                <w:sz w:val="16"/>
              </w:rPr>
            </w:pPr>
          </w:p>
        </w:tc>
        <w:tc>
          <w:tcPr>
            <w:tcW w:w="1432"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432"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255"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103"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033"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r>
      <w:tr w:rsidR="00956CC1" w:rsidTr="00387149">
        <w:trPr>
          <w:trHeight w:val="420"/>
          <w:jc w:val="center"/>
        </w:trPr>
        <w:tc>
          <w:tcPr>
            <w:tcW w:w="3000" w:type="dxa"/>
            <w:tcBorders>
              <w:top w:val="single" w:sz="12" w:space="0" w:color="auto"/>
              <w:left w:val="single" w:sz="12" w:space="0" w:color="auto"/>
              <w:bottom w:val="nil"/>
              <w:right w:val="single" w:sz="12" w:space="0" w:color="auto"/>
            </w:tcBorders>
            <w:vAlign w:val="center"/>
          </w:tcPr>
          <w:p w:rsidR="00956CC1" w:rsidRDefault="00956CC1">
            <w:pPr>
              <w:widowControl w:val="0"/>
              <w:autoSpaceDE w:val="0"/>
              <w:autoSpaceDN w:val="0"/>
              <w:adjustRightInd w:val="0"/>
              <w:rPr>
                <w:b/>
                <w:sz w:val="16"/>
              </w:rPr>
            </w:pPr>
            <w:r>
              <w:rPr>
                <w:b/>
                <w:sz w:val="16"/>
              </w:rPr>
              <w:t xml:space="preserve"> RATIO BOISSONS 2</w:t>
            </w:r>
          </w:p>
        </w:tc>
        <w:tc>
          <w:tcPr>
            <w:tcW w:w="918" w:type="dxa"/>
            <w:tcBorders>
              <w:top w:val="single" w:sz="12" w:space="0" w:color="auto"/>
              <w:left w:val="single" w:sz="12" w:space="0" w:color="auto"/>
              <w:bottom w:val="nil"/>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p>
        </w:tc>
        <w:tc>
          <w:tcPr>
            <w:tcW w:w="1432" w:type="dxa"/>
            <w:vMerge w:val="restart"/>
            <w:tcBorders>
              <w:top w:val="single" w:sz="12" w:space="0" w:color="auto"/>
              <w:left w:val="single" w:sz="12" w:space="0" w:color="auto"/>
              <w:right w:val="single" w:sz="12" w:space="0" w:color="auto"/>
            </w:tcBorders>
            <w:vAlign w:val="center"/>
          </w:tcPr>
          <w:p w:rsidR="00956CC1" w:rsidRPr="001354EF" w:rsidRDefault="00523DD2" w:rsidP="002F7B0D">
            <w:pPr>
              <w:widowControl w:val="0"/>
              <w:autoSpaceDE w:val="0"/>
              <w:autoSpaceDN w:val="0"/>
              <w:adjustRightInd w:val="0"/>
              <w:jc w:val="center"/>
              <w:rPr>
                <w:b/>
                <w:sz w:val="16"/>
              </w:rPr>
            </w:pPr>
            <w:r>
              <w:rPr>
                <w:b/>
                <w:sz w:val="16"/>
              </w:rPr>
              <w:t>34,7</w:t>
            </w:r>
            <w:r w:rsidR="00387149">
              <w:rPr>
                <w:b/>
                <w:sz w:val="16"/>
              </w:rPr>
              <w:t>%</w:t>
            </w:r>
          </w:p>
          <w:p w:rsidR="00956CC1" w:rsidRPr="001354EF" w:rsidRDefault="00956CC1" w:rsidP="008976C2">
            <w:pPr>
              <w:widowControl w:val="0"/>
              <w:autoSpaceDE w:val="0"/>
              <w:autoSpaceDN w:val="0"/>
              <w:adjustRightInd w:val="0"/>
              <w:jc w:val="center"/>
              <w:rPr>
                <w:b/>
                <w:sz w:val="16"/>
              </w:rPr>
            </w:pPr>
          </w:p>
        </w:tc>
        <w:tc>
          <w:tcPr>
            <w:tcW w:w="1432" w:type="dxa"/>
            <w:tcBorders>
              <w:top w:val="single" w:sz="12" w:space="0" w:color="auto"/>
              <w:left w:val="single" w:sz="12" w:space="0" w:color="auto"/>
              <w:bottom w:val="nil"/>
              <w:right w:val="single" w:sz="12" w:space="0" w:color="auto"/>
            </w:tcBorders>
            <w:vAlign w:val="center"/>
          </w:tcPr>
          <w:p w:rsidR="00956CC1" w:rsidRDefault="00956CC1" w:rsidP="002F7B0D">
            <w:pPr>
              <w:widowControl w:val="0"/>
              <w:autoSpaceDE w:val="0"/>
              <w:autoSpaceDN w:val="0"/>
              <w:adjustRightInd w:val="0"/>
              <w:jc w:val="center"/>
              <w:rPr>
                <w:b/>
                <w:sz w:val="16"/>
              </w:rPr>
            </w:pPr>
          </w:p>
          <w:p w:rsidR="009E40A7" w:rsidRPr="001354EF" w:rsidRDefault="00435B5E" w:rsidP="00C441E7">
            <w:pPr>
              <w:widowControl w:val="0"/>
              <w:autoSpaceDE w:val="0"/>
              <w:autoSpaceDN w:val="0"/>
              <w:adjustRightInd w:val="0"/>
              <w:rPr>
                <w:b/>
                <w:sz w:val="16"/>
              </w:rPr>
            </w:pPr>
            <w:r>
              <w:rPr>
                <w:b/>
                <w:sz w:val="16"/>
              </w:rPr>
              <w:t xml:space="preserve">          26,7%</w:t>
            </w:r>
          </w:p>
        </w:tc>
        <w:tc>
          <w:tcPr>
            <w:tcW w:w="1255" w:type="dxa"/>
            <w:vMerge w:val="restart"/>
            <w:tcBorders>
              <w:top w:val="single" w:sz="12" w:space="0" w:color="auto"/>
              <w:left w:val="single" w:sz="12" w:space="0" w:color="auto"/>
              <w:right w:val="single" w:sz="12" w:space="0" w:color="auto"/>
            </w:tcBorders>
            <w:vAlign w:val="center"/>
          </w:tcPr>
          <w:p w:rsidR="00956CC1" w:rsidRPr="006D054F" w:rsidRDefault="00041C34" w:rsidP="006D054F">
            <w:pPr>
              <w:widowControl w:val="0"/>
              <w:autoSpaceDE w:val="0"/>
              <w:autoSpaceDN w:val="0"/>
              <w:adjustRightInd w:val="0"/>
              <w:rPr>
                <w:b/>
                <w:sz w:val="16"/>
                <w:szCs w:val="16"/>
              </w:rPr>
            </w:pPr>
            <w:r>
              <w:rPr>
                <w:b/>
                <w:sz w:val="16"/>
                <w:szCs w:val="16"/>
              </w:rPr>
              <w:t xml:space="preserve">         -23,1</w:t>
            </w:r>
          </w:p>
          <w:p w:rsidR="00956CC1" w:rsidRPr="00BB691F" w:rsidRDefault="00956CC1" w:rsidP="002F7B0D">
            <w:pPr>
              <w:jc w:val="center"/>
              <w:rPr>
                <w:b/>
                <w:sz w:val="16"/>
                <w:szCs w:val="16"/>
              </w:rPr>
            </w:pPr>
          </w:p>
        </w:tc>
        <w:tc>
          <w:tcPr>
            <w:tcW w:w="1103" w:type="dxa"/>
            <w:tcBorders>
              <w:top w:val="single" w:sz="12" w:space="0" w:color="auto"/>
              <w:left w:val="single" w:sz="12" w:space="0" w:color="auto"/>
              <w:bottom w:val="nil"/>
              <w:right w:val="single" w:sz="12" w:space="0" w:color="auto"/>
            </w:tcBorders>
            <w:vAlign w:val="center"/>
          </w:tcPr>
          <w:p w:rsidR="00956CC1" w:rsidRDefault="00956CC1" w:rsidP="00387149">
            <w:pPr>
              <w:widowControl w:val="0"/>
              <w:autoSpaceDE w:val="0"/>
              <w:autoSpaceDN w:val="0"/>
              <w:adjustRightInd w:val="0"/>
              <w:rPr>
                <w:b/>
                <w:bCs/>
                <w:sz w:val="16"/>
              </w:rPr>
            </w:pPr>
          </w:p>
          <w:p w:rsidR="00276B9D" w:rsidRPr="001354EF" w:rsidRDefault="00B927C2" w:rsidP="00387149">
            <w:pPr>
              <w:widowControl w:val="0"/>
              <w:autoSpaceDE w:val="0"/>
              <w:autoSpaceDN w:val="0"/>
              <w:adjustRightInd w:val="0"/>
              <w:rPr>
                <w:b/>
                <w:bCs/>
                <w:sz w:val="16"/>
              </w:rPr>
            </w:pPr>
            <w:r>
              <w:rPr>
                <w:b/>
                <w:bCs/>
                <w:sz w:val="16"/>
              </w:rPr>
              <w:t xml:space="preserve">        33,9%</w:t>
            </w:r>
          </w:p>
        </w:tc>
        <w:tc>
          <w:tcPr>
            <w:tcW w:w="1033" w:type="dxa"/>
            <w:tcBorders>
              <w:top w:val="single" w:sz="12" w:space="0" w:color="auto"/>
              <w:left w:val="single" w:sz="12" w:space="0" w:color="auto"/>
              <w:bottom w:val="nil"/>
              <w:right w:val="single" w:sz="12" w:space="0" w:color="auto"/>
            </w:tcBorders>
            <w:vAlign w:val="center"/>
          </w:tcPr>
          <w:p w:rsidR="00956CC1" w:rsidRDefault="00956CC1" w:rsidP="00B27E29">
            <w:pPr>
              <w:widowControl w:val="0"/>
              <w:autoSpaceDE w:val="0"/>
              <w:autoSpaceDN w:val="0"/>
              <w:adjustRightInd w:val="0"/>
              <w:rPr>
                <w:b/>
                <w:sz w:val="16"/>
              </w:rPr>
            </w:pPr>
          </w:p>
          <w:p w:rsidR="003E2BF7" w:rsidRPr="001354EF" w:rsidRDefault="00041C34" w:rsidP="003E2BF7">
            <w:pPr>
              <w:widowControl w:val="0"/>
              <w:autoSpaceDE w:val="0"/>
              <w:autoSpaceDN w:val="0"/>
              <w:adjustRightInd w:val="0"/>
              <w:rPr>
                <w:b/>
                <w:sz w:val="16"/>
              </w:rPr>
            </w:pPr>
            <w:r>
              <w:rPr>
                <w:b/>
                <w:sz w:val="16"/>
              </w:rPr>
              <w:t xml:space="preserve">     +21,2</w:t>
            </w:r>
          </w:p>
        </w:tc>
      </w:tr>
      <w:tr w:rsidR="00956CC1" w:rsidTr="00387149">
        <w:trPr>
          <w:cantSplit/>
          <w:trHeight w:val="243"/>
          <w:jc w:val="center"/>
        </w:trPr>
        <w:tc>
          <w:tcPr>
            <w:tcW w:w="3000" w:type="dxa"/>
            <w:tcBorders>
              <w:top w:val="nil"/>
              <w:left w:val="single" w:sz="12" w:space="0" w:color="auto"/>
              <w:bottom w:val="nil"/>
              <w:right w:val="single" w:sz="12" w:space="0" w:color="auto"/>
            </w:tcBorders>
            <w:vAlign w:val="center"/>
          </w:tcPr>
          <w:p w:rsidR="00956CC1" w:rsidRDefault="00956CC1">
            <w:pPr>
              <w:widowControl w:val="0"/>
              <w:autoSpaceDE w:val="0"/>
              <w:autoSpaceDN w:val="0"/>
              <w:adjustRightInd w:val="0"/>
              <w:rPr>
                <w:sz w:val="16"/>
                <w:u w:val="single"/>
              </w:rPr>
            </w:pPr>
            <w:r>
              <w:rPr>
                <w:sz w:val="16"/>
                <w:u w:val="single"/>
              </w:rPr>
              <w:t>CA  DES BOISSONS</w:t>
            </w:r>
          </w:p>
        </w:tc>
        <w:tc>
          <w:tcPr>
            <w:tcW w:w="918" w:type="dxa"/>
            <w:vMerge w:val="restart"/>
            <w:tcBorders>
              <w:top w:val="nil"/>
              <w:left w:val="single" w:sz="12" w:space="0" w:color="auto"/>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p>
          <w:p w:rsidR="00956CC1" w:rsidRPr="003A6736" w:rsidRDefault="00956CC1" w:rsidP="00FF6ABF">
            <w:pPr>
              <w:widowControl w:val="0"/>
              <w:autoSpaceDE w:val="0"/>
              <w:autoSpaceDN w:val="0"/>
              <w:adjustRightInd w:val="0"/>
              <w:jc w:val="center"/>
              <w:rPr>
                <w:b/>
                <w:sz w:val="16"/>
              </w:rPr>
            </w:pPr>
            <w:r>
              <w:rPr>
                <w:b/>
                <w:sz w:val="16"/>
              </w:rPr>
              <w:t>33%</w:t>
            </w:r>
          </w:p>
        </w:tc>
        <w:tc>
          <w:tcPr>
            <w:tcW w:w="1432" w:type="dxa"/>
            <w:vMerge/>
            <w:tcBorders>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432" w:type="dxa"/>
            <w:vMerge w:val="restart"/>
            <w:tcBorders>
              <w:top w:val="nil"/>
              <w:left w:val="single" w:sz="12" w:space="0" w:color="auto"/>
              <w:right w:val="single" w:sz="12" w:space="0" w:color="auto"/>
            </w:tcBorders>
            <w:vAlign w:val="center"/>
          </w:tcPr>
          <w:p w:rsidR="00956CC1" w:rsidRPr="001354EF" w:rsidRDefault="00956CC1" w:rsidP="008976C2">
            <w:pPr>
              <w:widowControl w:val="0"/>
              <w:autoSpaceDE w:val="0"/>
              <w:autoSpaceDN w:val="0"/>
              <w:adjustRightInd w:val="0"/>
              <w:jc w:val="center"/>
              <w:rPr>
                <w:b/>
                <w:sz w:val="16"/>
              </w:rPr>
            </w:pPr>
          </w:p>
        </w:tc>
        <w:tc>
          <w:tcPr>
            <w:tcW w:w="1255" w:type="dxa"/>
            <w:vMerge/>
            <w:tcBorders>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103" w:type="dxa"/>
            <w:vMerge w:val="restart"/>
            <w:tcBorders>
              <w:top w:val="nil"/>
              <w:left w:val="single" w:sz="12" w:space="0" w:color="auto"/>
              <w:right w:val="single" w:sz="12" w:space="0" w:color="auto"/>
            </w:tcBorders>
            <w:vAlign w:val="center"/>
          </w:tcPr>
          <w:p w:rsidR="00956CC1" w:rsidRPr="001354EF" w:rsidRDefault="00956CC1" w:rsidP="008216AE">
            <w:pPr>
              <w:widowControl w:val="0"/>
              <w:autoSpaceDE w:val="0"/>
              <w:autoSpaceDN w:val="0"/>
              <w:adjustRightInd w:val="0"/>
              <w:rPr>
                <w:b/>
                <w:bCs/>
                <w:sz w:val="16"/>
              </w:rPr>
            </w:pPr>
          </w:p>
        </w:tc>
        <w:tc>
          <w:tcPr>
            <w:tcW w:w="1033" w:type="dxa"/>
            <w:vMerge w:val="restart"/>
            <w:tcBorders>
              <w:top w:val="nil"/>
              <w:left w:val="single" w:sz="12" w:space="0" w:color="auto"/>
              <w:right w:val="single" w:sz="12" w:space="0" w:color="auto"/>
            </w:tcBorders>
            <w:vAlign w:val="center"/>
          </w:tcPr>
          <w:p w:rsidR="00956CC1" w:rsidRPr="001354EF" w:rsidRDefault="00956CC1" w:rsidP="00387149">
            <w:pPr>
              <w:widowControl w:val="0"/>
              <w:autoSpaceDE w:val="0"/>
              <w:autoSpaceDN w:val="0"/>
              <w:adjustRightInd w:val="0"/>
              <w:rPr>
                <w:b/>
                <w:sz w:val="16"/>
              </w:rPr>
            </w:pPr>
          </w:p>
        </w:tc>
      </w:tr>
      <w:tr w:rsidR="00956CC1" w:rsidTr="00387149">
        <w:trPr>
          <w:cantSplit/>
          <w:trHeight w:val="172"/>
          <w:jc w:val="center"/>
        </w:trPr>
        <w:tc>
          <w:tcPr>
            <w:tcW w:w="3000" w:type="dxa"/>
            <w:tcBorders>
              <w:top w:val="nil"/>
              <w:left w:val="single" w:sz="12" w:space="0" w:color="auto"/>
              <w:bottom w:val="single" w:sz="12" w:space="0" w:color="auto"/>
              <w:right w:val="single" w:sz="12" w:space="0" w:color="auto"/>
            </w:tcBorders>
            <w:vAlign w:val="center"/>
          </w:tcPr>
          <w:p w:rsidR="00956CC1" w:rsidRDefault="00956CC1">
            <w:pPr>
              <w:widowControl w:val="0"/>
              <w:autoSpaceDE w:val="0"/>
              <w:autoSpaceDN w:val="0"/>
              <w:adjustRightInd w:val="0"/>
              <w:rPr>
                <w:sz w:val="16"/>
              </w:rPr>
            </w:pPr>
            <w:r>
              <w:rPr>
                <w:sz w:val="16"/>
              </w:rPr>
              <w:t xml:space="preserve">     CA DENREES</w:t>
            </w:r>
          </w:p>
        </w:tc>
        <w:tc>
          <w:tcPr>
            <w:tcW w:w="918" w:type="dxa"/>
            <w:vMerge/>
            <w:tcBorders>
              <w:left w:val="single" w:sz="12" w:space="0" w:color="auto"/>
              <w:bottom w:val="single" w:sz="12" w:space="0" w:color="auto"/>
              <w:right w:val="single" w:sz="12" w:space="0" w:color="auto"/>
            </w:tcBorders>
            <w:vAlign w:val="center"/>
          </w:tcPr>
          <w:p w:rsidR="00956CC1" w:rsidRPr="003A6736" w:rsidRDefault="00956CC1">
            <w:pPr>
              <w:widowControl w:val="0"/>
              <w:autoSpaceDE w:val="0"/>
              <w:autoSpaceDN w:val="0"/>
              <w:adjustRightInd w:val="0"/>
              <w:rPr>
                <w:b/>
                <w:sz w:val="16"/>
              </w:rPr>
            </w:pPr>
          </w:p>
        </w:tc>
        <w:tc>
          <w:tcPr>
            <w:tcW w:w="1432"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432"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255"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103" w:type="dxa"/>
            <w:vMerge/>
            <w:tcBorders>
              <w:left w:val="single" w:sz="12" w:space="0" w:color="auto"/>
              <w:bottom w:val="single" w:sz="12" w:space="0" w:color="auto"/>
              <w:right w:val="single" w:sz="12" w:space="0" w:color="auto"/>
            </w:tcBorders>
          </w:tcPr>
          <w:p w:rsidR="00956CC1" w:rsidRPr="001354EF" w:rsidRDefault="00956CC1" w:rsidP="002F7B0D">
            <w:pPr>
              <w:widowControl w:val="0"/>
              <w:autoSpaceDE w:val="0"/>
              <w:autoSpaceDN w:val="0"/>
              <w:adjustRightInd w:val="0"/>
              <w:jc w:val="center"/>
              <w:rPr>
                <w:b/>
                <w:sz w:val="16"/>
              </w:rPr>
            </w:pPr>
          </w:p>
        </w:tc>
        <w:tc>
          <w:tcPr>
            <w:tcW w:w="1033" w:type="dxa"/>
            <w:vMerge/>
            <w:tcBorders>
              <w:left w:val="single" w:sz="12" w:space="0" w:color="auto"/>
              <w:bottom w:val="single" w:sz="12" w:space="0" w:color="auto"/>
              <w:right w:val="single" w:sz="12" w:space="0" w:color="auto"/>
            </w:tcBorders>
          </w:tcPr>
          <w:p w:rsidR="00956CC1" w:rsidRPr="001354EF" w:rsidRDefault="00956CC1" w:rsidP="002F7B0D">
            <w:pPr>
              <w:widowControl w:val="0"/>
              <w:autoSpaceDE w:val="0"/>
              <w:autoSpaceDN w:val="0"/>
              <w:adjustRightInd w:val="0"/>
              <w:jc w:val="center"/>
              <w:rPr>
                <w:b/>
                <w:sz w:val="16"/>
              </w:rPr>
            </w:pPr>
          </w:p>
        </w:tc>
      </w:tr>
      <w:tr w:rsidR="00956CC1" w:rsidTr="00387149">
        <w:trPr>
          <w:cantSplit/>
          <w:trHeight w:val="330"/>
          <w:jc w:val="center"/>
        </w:trPr>
        <w:tc>
          <w:tcPr>
            <w:tcW w:w="3000" w:type="dxa"/>
            <w:tcBorders>
              <w:top w:val="single" w:sz="12" w:space="0" w:color="auto"/>
              <w:left w:val="single" w:sz="12" w:space="0" w:color="auto"/>
              <w:bottom w:val="nil"/>
              <w:right w:val="single" w:sz="12" w:space="0" w:color="auto"/>
            </w:tcBorders>
            <w:vAlign w:val="center"/>
          </w:tcPr>
          <w:p w:rsidR="00956CC1" w:rsidRDefault="00956CC1">
            <w:pPr>
              <w:widowControl w:val="0"/>
              <w:autoSpaceDE w:val="0"/>
              <w:autoSpaceDN w:val="0"/>
              <w:adjustRightInd w:val="0"/>
              <w:rPr>
                <w:b/>
                <w:sz w:val="16"/>
              </w:rPr>
            </w:pPr>
            <w:r>
              <w:rPr>
                <w:b/>
                <w:sz w:val="16"/>
              </w:rPr>
              <w:t>RATIO FRAIS DE PERSONNEL</w:t>
            </w:r>
          </w:p>
        </w:tc>
        <w:tc>
          <w:tcPr>
            <w:tcW w:w="918" w:type="dxa"/>
            <w:vMerge w:val="restart"/>
            <w:tcBorders>
              <w:top w:val="single" w:sz="12" w:space="0" w:color="auto"/>
              <w:left w:val="single" w:sz="12" w:space="0" w:color="auto"/>
              <w:right w:val="single" w:sz="12" w:space="0" w:color="auto"/>
            </w:tcBorders>
            <w:vAlign w:val="center"/>
          </w:tcPr>
          <w:p w:rsidR="00956CC1" w:rsidRPr="003A6736" w:rsidRDefault="00956CC1" w:rsidP="001B3D37">
            <w:pPr>
              <w:rPr>
                <w:b/>
                <w:sz w:val="16"/>
              </w:rPr>
            </w:pPr>
            <w:r w:rsidRPr="001A5904">
              <w:rPr>
                <w:b/>
                <w:bCs/>
                <w:sz w:val="16"/>
              </w:rPr>
              <w:t>30%</w:t>
            </w:r>
          </w:p>
        </w:tc>
        <w:tc>
          <w:tcPr>
            <w:tcW w:w="1432" w:type="dxa"/>
            <w:vMerge w:val="restart"/>
            <w:tcBorders>
              <w:top w:val="single" w:sz="12" w:space="0" w:color="auto"/>
              <w:left w:val="single" w:sz="12" w:space="0" w:color="auto"/>
              <w:right w:val="single" w:sz="12" w:space="0" w:color="auto"/>
            </w:tcBorders>
          </w:tcPr>
          <w:p w:rsidR="00956CC1" w:rsidRPr="001354EF" w:rsidRDefault="00956CC1" w:rsidP="002F7B0D">
            <w:pPr>
              <w:jc w:val="center"/>
              <w:rPr>
                <w:b/>
                <w:sz w:val="16"/>
              </w:rPr>
            </w:pPr>
          </w:p>
          <w:p w:rsidR="00956CC1" w:rsidRPr="001354EF" w:rsidRDefault="00956CC1" w:rsidP="000174D0">
            <w:pPr>
              <w:jc w:val="center"/>
              <w:rPr>
                <w:b/>
                <w:sz w:val="16"/>
              </w:rPr>
            </w:pPr>
          </w:p>
          <w:p w:rsidR="00956CC1" w:rsidRPr="001354EF" w:rsidRDefault="00523DD2" w:rsidP="002F7B0D">
            <w:pPr>
              <w:jc w:val="center"/>
              <w:rPr>
                <w:b/>
                <w:sz w:val="16"/>
              </w:rPr>
            </w:pPr>
            <w:r>
              <w:rPr>
                <w:b/>
                <w:sz w:val="16"/>
              </w:rPr>
              <w:t>65,6</w:t>
            </w:r>
            <w:r w:rsidR="00387149">
              <w:rPr>
                <w:b/>
                <w:sz w:val="16"/>
              </w:rPr>
              <w:t>%</w:t>
            </w:r>
          </w:p>
          <w:p w:rsidR="00956CC1" w:rsidRPr="001354EF" w:rsidRDefault="00956CC1" w:rsidP="00387149">
            <w:pPr>
              <w:rPr>
                <w:b/>
                <w:sz w:val="16"/>
              </w:rPr>
            </w:pPr>
          </w:p>
          <w:p w:rsidR="00FC3B80" w:rsidRDefault="00FC3B80" w:rsidP="008976C2">
            <w:pPr>
              <w:jc w:val="center"/>
              <w:rPr>
                <w:b/>
                <w:sz w:val="16"/>
              </w:rPr>
            </w:pPr>
          </w:p>
          <w:p w:rsidR="00956CC1" w:rsidRPr="00FC3B80" w:rsidRDefault="00523DD2" w:rsidP="00FC3B80">
            <w:pPr>
              <w:jc w:val="center"/>
              <w:rPr>
                <w:b/>
                <w:sz w:val="16"/>
              </w:rPr>
            </w:pPr>
            <w:r>
              <w:rPr>
                <w:b/>
                <w:sz w:val="16"/>
              </w:rPr>
              <w:t>109,2</w:t>
            </w:r>
            <w:r w:rsidR="00387149">
              <w:rPr>
                <w:b/>
                <w:sz w:val="16"/>
              </w:rPr>
              <w:t>%</w:t>
            </w:r>
          </w:p>
        </w:tc>
        <w:tc>
          <w:tcPr>
            <w:tcW w:w="1432" w:type="dxa"/>
            <w:vMerge w:val="restart"/>
            <w:tcBorders>
              <w:top w:val="single" w:sz="12" w:space="0" w:color="auto"/>
              <w:left w:val="single" w:sz="12" w:space="0" w:color="auto"/>
              <w:right w:val="single" w:sz="12" w:space="0" w:color="auto"/>
            </w:tcBorders>
          </w:tcPr>
          <w:p w:rsidR="00956CC1" w:rsidRPr="001354EF" w:rsidRDefault="00956CC1" w:rsidP="00B27E29">
            <w:pPr>
              <w:rPr>
                <w:b/>
                <w:sz w:val="16"/>
              </w:rPr>
            </w:pPr>
          </w:p>
          <w:p w:rsidR="00956CC1" w:rsidRDefault="00956CC1" w:rsidP="002F7B0D">
            <w:pPr>
              <w:jc w:val="center"/>
              <w:rPr>
                <w:b/>
                <w:sz w:val="16"/>
                <w:szCs w:val="16"/>
              </w:rPr>
            </w:pPr>
          </w:p>
          <w:p w:rsidR="009E40A7" w:rsidRDefault="00435B5E" w:rsidP="002F7B0D">
            <w:pPr>
              <w:jc w:val="center"/>
              <w:rPr>
                <w:b/>
                <w:sz w:val="16"/>
                <w:szCs w:val="16"/>
              </w:rPr>
            </w:pPr>
            <w:r>
              <w:rPr>
                <w:b/>
                <w:sz w:val="16"/>
                <w:szCs w:val="16"/>
              </w:rPr>
              <w:t>44,9</w:t>
            </w:r>
            <w:r w:rsidR="003B36C7">
              <w:rPr>
                <w:b/>
                <w:sz w:val="16"/>
                <w:szCs w:val="16"/>
              </w:rPr>
              <w:t>%</w:t>
            </w:r>
          </w:p>
          <w:p w:rsidR="009E40A7" w:rsidRPr="009E40A7" w:rsidRDefault="009E40A7" w:rsidP="009E40A7">
            <w:pPr>
              <w:rPr>
                <w:sz w:val="16"/>
                <w:szCs w:val="16"/>
              </w:rPr>
            </w:pPr>
          </w:p>
          <w:p w:rsidR="009E40A7" w:rsidRDefault="009E40A7" w:rsidP="009E40A7">
            <w:pPr>
              <w:rPr>
                <w:sz w:val="16"/>
                <w:szCs w:val="16"/>
              </w:rPr>
            </w:pPr>
          </w:p>
          <w:p w:rsidR="009E40A7" w:rsidRPr="00F60973" w:rsidRDefault="00435B5E" w:rsidP="009E40A7">
            <w:pPr>
              <w:rPr>
                <w:b/>
                <w:bCs/>
                <w:sz w:val="16"/>
                <w:szCs w:val="16"/>
              </w:rPr>
            </w:pPr>
            <w:r>
              <w:rPr>
                <w:b/>
                <w:bCs/>
                <w:sz w:val="16"/>
                <w:szCs w:val="16"/>
              </w:rPr>
              <w:t xml:space="preserve">           65,3%</w:t>
            </w:r>
          </w:p>
        </w:tc>
        <w:tc>
          <w:tcPr>
            <w:tcW w:w="1255" w:type="dxa"/>
            <w:vMerge w:val="restart"/>
            <w:tcBorders>
              <w:top w:val="single" w:sz="12" w:space="0" w:color="auto"/>
              <w:left w:val="single" w:sz="12" w:space="0" w:color="auto"/>
              <w:right w:val="single" w:sz="12" w:space="0" w:color="auto"/>
            </w:tcBorders>
          </w:tcPr>
          <w:p w:rsidR="00956CC1" w:rsidRPr="001354EF" w:rsidRDefault="00956CC1" w:rsidP="002F7B0D">
            <w:pPr>
              <w:jc w:val="center"/>
              <w:rPr>
                <w:b/>
                <w:sz w:val="16"/>
              </w:rPr>
            </w:pPr>
          </w:p>
          <w:p w:rsidR="00956CC1" w:rsidRPr="00BB691F" w:rsidRDefault="00956CC1" w:rsidP="002F7B0D">
            <w:pPr>
              <w:jc w:val="center"/>
              <w:rPr>
                <w:b/>
                <w:sz w:val="16"/>
                <w:szCs w:val="16"/>
              </w:rPr>
            </w:pPr>
          </w:p>
          <w:p w:rsidR="00956CC1" w:rsidRPr="008615E6" w:rsidRDefault="00041C34" w:rsidP="00BB691F">
            <w:pPr>
              <w:rPr>
                <w:b/>
                <w:sz w:val="16"/>
                <w:szCs w:val="16"/>
              </w:rPr>
            </w:pPr>
            <w:r>
              <w:rPr>
                <w:b/>
                <w:sz w:val="16"/>
                <w:szCs w:val="16"/>
              </w:rPr>
              <w:t xml:space="preserve">        -31,6</w:t>
            </w:r>
          </w:p>
          <w:p w:rsidR="00956CC1" w:rsidRDefault="00956CC1" w:rsidP="00387149">
            <w:pPr>
              <w:rPr>
                <w:b/>
                <w:sz w:val="16"/>
                <w:szCs w:val="16"/>
              </w:rPr>
            </w:pPr>
          </w:p>
          <w:p w:rsidR="00956CC1" w:rsidRPr="00E536F2" w:rsidRDefault="00956CC1" w:rsidP="00562AA7">
            <w:pPr>
              <w:tabs>
                <w:tab w:val="left" w:pos="762"/>
              </w:tabs>
              <w:rPr>
                <w:b/>
                <w:sz w:val="16"/>
                <w:szCs w:val="16"/>
              </w:rPr>
            </w:pPr>
          </w:p>
          <w:p w:rsidR="00956CC1" w:rsidRPr="008615E6" w:rsidRDefault="00041C34" w:rsidP="00E536F2">
            <w:pPr>
              <w:rPr>
                <w:b/>
                <w:sz w:val="16"/>
                <w:szCs w:val="16"/>
              </w:rPr>
            </w:pPr>
            <w:r>
              <w:rPr>
                <w:b/>
                <w:sz w:val="16"/>
                <w:szCs w:val="16"/>
              </w:rPr>
              <w:t xml:space="preserve">        -40,2</w:t>
            </w:r>
          </w:p>
        </w:tc>
        <w:tc>
          <w:tcPr>
            <w:tcW w:w="1103" w:type="dxa"/>
            <w:vMerge w:val="restart"/>
            <w:tcBorders>
              <w:top w:val="single" w:sz="12" w:space="0" w:color="auto"/>
              <w:left w:val="single" w:sz="12" w:space="0" w:color="auto"/>
              <w:right w:val="single" w:sz="12" w:space="0" w:color="auto"/>
            </w:tcBorders>
          </w:tcPr>
          <w:p w:rsidR="00956CC1" w:rsidRPr="001354EF" w:rsidRDefault="00956CC1" w:rsidP="00B27E29">
            <w:pPr>
              <w:rPr>
                <w:b/>
                <w:sz w:val="16"/>
              </w:rPr>
            </w:pPr>
          </w:p>
          <w:p w:rsidR="0046235A" w:rsidRDefault="0046235A" w:rsidP="00387149">
            <w:pPr>
              <w:rPr>
                <w:b/>
                <w:sz w:val="16"/>
                <w:szCs w:val="16"/>
              </w:rPr>
            </w:pPr>
          </w:p>
          <w:p w:rsidR="0046235A" w:rsidRPr="00F60973" w:rsidRDefault="00B927C2" w:rsidP="0046235A">
            <w:pPr>
              <w:rPr>
                <w:b/>
                <w:bCs/>
                <w:sz w:val="16"/>
                <w:szCs w:val="16"/>
              </w:rPr>
            </w:pPr>
            <w:r>
              <w:rPr>
                <w:b/>
                <w:bCs/>
                <w:sz w:val="16"/>
                <w:szCs w:val="16"/>
              </w:rPr>
              <w:t xml:space="preserve">       51,5%</w:t>
            </w:r>
          </w:p>
          <w:p w:rsidR="0046235A" w:rsidRDefault="0046235A" w:rsidP="0046235A">
            <w:pPr>
              <w:rPr>
                <w:sz w:val="16"/>
                <w:szCs w:val="16"/>
              </w:rPr>
            </w:pPr>
          </w:p>
          <w:p w:rsidR="00276B9D" w:rsidRDefault="00276B9D" w:rsidP="0046235A">
            <w:pPr>
              <w:rPr>
                <w:b/>
                <w:sz w:val="16"/>
                <w:szCs w:val="16"/>
              </w:rPr>
            </w:pPr>
          </w:p>
          <w:p w:rsidR="00956CC1" w:rsidRPr="00B82F52" w:rsidRDefault="00B927C2" w:rsidP="00276B9D">
            <w:pPr>
              <w:rPr>
                <w:b/>
                <w:bCs/>
                <w:sz w:val="16"/>
                <w:szCs w:val="16"/>
              </w:rPr>
            </w:pPr>
            <w:r>
              <w:rPr>
                <w:b/>
                <w:bCs/>
                <w:sz w:val="16"/>
                <w:szCs w:val="16"/>
              </w:rPr>
              <w:t xml:space="preserve">       82,7%</w:t>
            </w:r>
          </w:p>
        </w:tc>
        <w:tc>
          <w:tcPr>
            <w:tcW w:w="1033" w:type="dxa"/>
            <w:vMerge w:val="restart"/>
            <w:tcBorders>
              <w:top w:val="single" w:sz="12" w:space="0" w:color="auto"/>
              <w:left w:val="single" w:sz="12" w:space="0" w:color="auto"/>
              <w:right w:val="single" w:sz="12" w:space="0" w:color="auto"/>
            </w:tcBorders>
          </w:tcPr>
          <w:p w:rsidR="00956CC1" w:rsidRPr="001354EF" w:rsidRDefault="00956CC1" w:rsidP="00B27E29">
            <w:pPr>
              <w:rPr>
                <w:b/>
                <w:sz w:val="16"/>
              </w:rPr>
            </w:pPr>
          </w:p>
          <w:p w:rsidR="00956CC1" w:rsidRPr="001354EF" w:rsidRDefault="00956CC1" w:rsidP="002F7B0D">
            <w:pPr>
              <w:jc w:val="center"/>
              <w:rPr>
                <w:b/>
                <w:sz w:val="16"/>
              </w:rPr>
            </w:pPr>
          </w:p>
          <w:p w:rsidR="00956CC1" w:rsidRPr="00E467C8" w:rsidRDefault="00041C34" w:rsidP="00041C34">
            <w:pPr>
              <w:rPr>
                <w:b/>
                <w:vertAlign w:val="superscript"/>
              </w:rPr>
            </w:pPr>
            <w:r>
              <w:rPr>
                <w:b/>
                <w:vertAlign w:val="superscript"/>
              </w:rPr>
              <w:t xml:space="preserve">     +12,8</w:t>
            </w:r>
          </w:p>
          <w:p w:rsidR="00956CC1" w:rsidRDefault="00956CC1" w:rsidP="00E536F2">
            <w:pPr>
              <w:rPr>
                <w:b/>
                <w:sz w:val="16"/>
                <w:szCs w:val="16"/>
              </w:rPr>
            </w:pPr>
          </w:p>
          <w:p w:rsidR="00041C34" w:rsidRPr="00E536F2" w:rsidRDefault="00041C34" w:rsidP="00041C34">
            <w:pPr>
              <w:rPr>
                <w:b/>
                <w:sz w:val="16"/>
                <w:szCs w:val="16"/>
              </w:rPr>
            </w:pPr>
            <w:r>
              <w:rPr>
                <w:b/>
                <w:sz w:val="16"/>
                <w:szCs w:val="16"/>
              </w:rPr>
              <w:t xml:space="preserve">      +21,0</w:t>
            </w:r>
          </w:p>
        </w:tc>
      </w:tr>
      <w:tr w:rsidR="00956CC1" w:rsidTr="00387149">
        <w:trPr>
          <w:cantSplit/>
          <w:trHeight w:val="152"/>
          <w:jc w:val="center"/>
        </w:trPr>
        <w:tc>
          <w:tcPr>
            <w:tcW w:w="3000" w:type="dxa"/>
            <w:tcBorders>
              <w:top w:val="nil"/>
              <w:left w:val="single" w:sz="12" w:space="0" w:color="auto"/>
              <w:bottom w:val="nil"/>
              <w:right w:val="single" w:sz="12" w:space="0" w:color="auto"/>
            </w:tcBorders>
            <w:vAlign w:val="center"/>
          </w:tcPr>
          <w:p w:rsidR="00956CC1" w:rsidRDefault="00956CC1" w:rsidP="00F86339">
            <w:pPr>
              <w:widowControl w:val="0"/>
              <w:autoSpaceDE w:val="0"/>
              <w:autoSpaceDN w:val="0"/>
              <w:adjustRightInd w:val="0"/>
              <w:rPr>
                <w:sz w:val="16"/>
                <w:u w:val="single"/>
              </w:rPr>
            </w:pPr>
            <w:r>
              <w:rPr>
                <w:sz w:val="16"/>
                <w:u w:val="single"/>
              </w:rPr>
              <w:t>FRAIS DE PERSONNEL</w:t>
            </w:r>
          </w:p>
        </w:tc>
        <w:tc>
          <w:tcPr>
            <w:tcW w:w="918" w:type="dxa"/>
            <w:vMerge/>
            <w:tcBorders>
              <w:left w:val="single" w:sz="12" w:space="0" w:color="auto"/>
              <w:right w:val="single" w:sz="12" w:space="0" w:color="auto"/>
            </w:tcBorders>
          </w:tcPr>
          <w:p w:rsidR="00956CC1" w:rsidRPr="003A6736" w:rsidRDefault="00956CC1">
            <w:pPr>
              <w:widowControl w:val="0"/>
              <w:autoSpaceDE w:val="0"/>
              <w:autoSpaceDN w:val="0"/>
              <w:adjustRightInd w:val="0"/>
              <w:jc w:val="center"/>
              <w:rPr>
                <w:b/>
                <w:sz w:val="16"/>
              </w:rPr>
            </w:pPr>
          </w:p>
        </w:tc>
        <w:tc>
          <w:tcPr>
            <w:tcW w:w="1432" w:type="dxa"/>
            <w:vMerge/>
            <w:tcBorders>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432" w:type="dxa"/>
            <w:vMerge/>
            <w:tcBorders>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255" w:type="dxa"/>
            <w:vMerge/>
            <w:tcBorders>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103" w:type="dxa"/>
            <w:vMerge/>
            <w:tcBorders>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033" w:type="dxa"/>
            <w:vMerge/>
            <w:tcBorders>
              <w:left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r>
      <w:tr w:rsidR="00956CC1" w:rsidTr="00387149">
        <w:trPr>
          <w:cantSplit/>
          <w:trHeight w:val="164"/>
          <w:jc w:val="center"/>
        </w:trPr>
        <w:tc>
          <w:tcPr>
            <w:tcW w:w="3000" w:type="dxa"/>
            <w:tcBorders>
              <w:top w:val="nil"/>
              <w:left w:val="single" w:sz="12" w:space="0" w:color="auto"/>
              <w:bottom w:val="single" w:sz="12" w:space="0" w:color="auto"/>
              <w:right w:val="single" w:sz="12" w:space="0" w:color="auto"/>
            </w:tcBorders>
            <w:vAlign w:val="center"/>
          </w:tcPr>
          <w:p w:rsidR="00956CC1" w:rsidRDefault="00956CC1">
            <w:pPr>
              <w:widowControl w:val="0"/>
              <w:autoSpaceDE w:val="0"/>
              <w:autoSpaceDN w:val="0"/>
              <w:adjustRightInd w:val="0"/>
              <w:rPr>
                <w:sz w:val="16"/>
              </w:rPr>
            </w:pPr>
            <w:r>
              <w:rPr>
                <w:sz w:val="16"/>
              </w:rPr>
              <w:t xml:space="preserve">     CA GLOBAL </w:t>
            </w:r>
          </w:p>
          <w:p w:rsidR="00956CC1" w:rsidRDefault="00956CC1">
            <w:pPr>
              <w:widowControl w:val="0"/>
              <w:autoSpaceDE w:val="0"/>
              <w:autoSpaceDN w:val="0"/>
              <w:adjustRightInd w:val="0"/>
              <w:rPr>
                <w:sz w:val="16"/>
              </w:rPr>
            </w:pPr>
          </w:p>
          <w:p w:rsidR="00956CC1" w:rsidRDefault="00956CC1">
            <w:pPr>
              <w:widowControl w:val="0"/>
              <w:autoSpaceDE w:val="0"/>
              <w:autoSpaceDN w:val="0"/>
              <w:adjustRightInd w:val="0"/>
              <w:rPr>
                <w:sz w:val="16"/>
              </w:rPr>
            </w:pPr>
            <w:r>
              <w:rPr>
                <w:sz w:val="16"/>
                <w:u w:val="single"/>
              </w:rPr>
              <w:t>FRAIS DE PERSONNEL</w:t>
            </w:r>
          </w:p>
          <w:p w:rsidR="00956CC1" w:rsidRDefault="00956CC1">
            <w:pPr>
              <w:widowControl w:val="0"/>
              <w:autoSpaceDE w:val="0"/>
              <w:autoSpaceDN w:val="0"/>
              <w:adjustRightInd w:val="0"/>
              <w:rPr>
                <w:sz w:val="16"/>
              </w:rPr>
            </w:pPr>
            <w:r>
              <w:rPr>
                <w:sz w:val="16"/>
              </w:rPr>
              <w:t>VALEUR AJOUTEE</w:t>
            </w:r>
          </w:p>
          <w:p w:rsidR="00956CC1" w:rsidRDefault="00956CC1">
            <w:pPr>
              <w:widowControl w:val="0"/>
              <w:autoSpaceDE w:val="0"/>
              <w:autoSpaceDN w:val="0"/>
              <w:adjustRightInd w:val="0"/>
              <w:rPr>
                <w:sz w:val="16"/>
              </w:rPr>
            </w:pPr>
          </w:p>
        </w:tc>
        <w:tc>
          <w:tcPr>
            <w:tcW w:w="918" w:type="dxa"/>
            <w:vMerge/>
            <w:tcBorders>
              <w:left w:val="single" w:sz="12" w:space="0" w:color="auto"/>
              <w:bottom w:val="single" w:sz="12" w:space="0" w:color="auto"/>
              <w:right w:val="single" w:sz="12" w:space="0" w:color="auto"/>
            </w:tcBorders>
            <w:vAlign w:val="center"/>
          </w:tcPr>
          <w:p w:rsidR="00956CC1" w:rsidRPr="003A6736" w:rsidRDefault="00956CC1">
            <w:pPr>
              <w:widowControl w:val="0"/>
              <w:autoSpaceDE w:val="0"/>
              <w:autoSpaceDN w:val="0"/>
              <w:adjustRightInd w:val="0"/>
              <w:jc w:val="center"/>
              <w:rPr>
                <w:b/>
                <w:sz w:val="16"/>
              </w:rPr>
            </w:pPr>
          </w:p>
        </w:tc>
        <w:tc>
          <w:tcPr>
            <w:tcW w:w="1432"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432"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255"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103"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033" w:type="dxa"/>
            <w:vMerge/>
            <w:tcBorders>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r>
      <w:tr w:rsidR="00956CC1" w:rsidTr="00387149">
        <w:trPr>
          <w:trHeight w:val="167"/>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Pr="00425BBA" w:rsidRDefault="00956CC1">
            <w:pPr>
              <w:widowControl w:val="0"/>
              <w:autoSpaceDE w:val="0"/>
              <w:autoSpaceDN w:val="0"/>
              <w:adjustRightInd w:val="0"/>
              <w:rPr>
                <w:b/>
                <w:sz w:val="16"/>
                <w:highlight w:val="yellow"/>
                <w:u w:val="single"/>
              </w:rPr>
            </w:pPr>
          </w:p>
          <w:p w:rsidR="00956CC1" w:rsidRPr="00B02047" w:rsidRDefault="00956CC1">
            <w:pPr>
              <w:widowControl w:val="0"/>
              <w:autoSpaceDE w:val="0"/>
              <w:autoSpaceDN w:val="0"/>
              <w:adjustRightInd w:val="0"/>
              <w:rPr>
                <w:b/>
                <w:sz w:val="16"/>
                <w:u w:val="single"/>
              </w:rPr>
            </w:pPr>
            <w:r w:rsidRPr="00B02047">
              <w:rPr>
                <w:b/>
                <w:sz w:val="16"/>
                <w:u w:val="single"/>
              </w:rPr>
              <w:t xml:space="preserve">BUDGET ALLOUE A LA FORMATION DU PERSONNEL </w:t>
            </w:r>
          </w:p>
          <w:p w:rsidR="00956CC1" w:rsidRPr="00425BBA" w:rsidRDefault="00956CC1">
            <w:pPr>
              <w:widowControl w:val="0"/>
              <w:autoSpaceDE w:val="0"/>
              <w:autoSpaceDN w:val="0"/>
              <w:adjustRightInd w:val="0"/>
              <w:rPr>
                <w:b/>
                <w:sz w:val="16"/>
                <w:highlight w:val="yellow"/>
                <w:u w:val="single"/>
              </w:rPr>
            </w:pPr>
            <w:r w:rsidRPr="00B02047">
              <w:rPr>
                <w:b/>
                <w:sz w:val="16"/>
                <w:u w:val="single"/>
              </w:rPr>
              <w:t>EN MILLIONS DE DA</w:t>
            </w: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r>
              <w:rPr>
                <w:b/>
                <w:sz w:val="16"/>
              </w:rPr>
              <w:t>2%</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523DD2" w:rsidP="00523DD2">
            <w:pPr>
              <w:widowControl w:val="0"/>
              <w:autoSpaceDE w:val="0"/>
              <w:autoSpaceDN w:val="0"/>
              <w:adjustRightInd w:val="0"/>
              <w:rPr>
                <w:b/>
                <w:sz w:val="16"/>
              </w:rPr>
            </w:pPr>
            <w:r>
              <w:rPr>
                <w:b/>
                <w:sz w:val="16"/>
              </w:rPr>
              <w:t>1</w:t>
            </w:r>
            <w:r w:rsidR="00C441E7">
              <w:rPr>
                <w:b/>
                <w:sz w:val="16"/>
              </w:rPr>
              <w:t>,</w:t>
            </w:r>
            <w:r>
              <w:rPr>
                <w:b/>
                <w:sz w:val="16"/>
              </w:rPr>
              <w:t>07</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435B5E" w:rsidP="00387149">
            <w:pPr>
              <w:widowControl w:val="0"/>
              <w:autoSpaceDE w:val="0"/>
              <w:autoSpaceDN w:val="0"/>
              <w:adjustRightInd w:val="0"/>
              <w:rPr>
                <w:b/>
                <w:sz w:val="16"/>
              </w:rPr>
            </w:pPr>
            <w:r>
              <w:rPr>
                <w:b/>
                <w:sz w:val="16"/>
              </w:rPr>
              <w:t xml:space="preserve">             2,9</w:t>
            </w: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1354EF" w:rsidRDefault="00041C34" w:rsidP="004B0262">
            <w:pPr>
              <w:widowControl w:val="0"/>
              <w:autoSpaceDE w:val="0"/>
              <w:autoSpaceDN w:val="0"/>
              <w:adjustRightInd w:val="0"/>
              <w:rPr>
                <w:b/>
                <w:sz w:val="16"/>
              </w:rPr>
            </w:pPr>
            <w:r>
              <w:rPr>
                <w:b/>
                <w:sz w:val="16"/>
              </w:rPr>
              <w:t xml:space="preserve">     +112,1</w:t>
            </w:r>
          </w:p>
        </w:tc>
        <w:tc>
          <w:tcPr>
            <w:tcW w:w="1103" w:type="dxa"/>
            <w:tcBorders>
              <w:top w:val="single" w:sz="12" w:space="0" w:color="auto"/>
              <w:left w:val="single" w:sz="12" w:space="0" w:color="auto"/>
              <w:bottom w:val="single" w:sz="12" w:space="0" w:color="auto"/>
              <w:right w:val="single" w:sz="12" w:space="0" w:color="auto"/>
            </w:tcBorders>
            <w:vAlign w:val="center"/>
          </w:tcPr>
          <w:p w:rsidR="00956CC1" w:rsidRPr="001354EF" w:rsidRDefault="00041C34" w:rsidP="00005AA8">
            <w:pPr>
              <w:widowControl w:val="0"/>
              <w:autoSpaceDE w:val="0"/>
              <w:autoSpaceDN w:val="0"/>
              <w:adjustRightInd w:val="0"/>
              <w:rPr>
                <w:b/>
                <w:bCs/>
                <w:sz w:val="16"/>
              </w:rPr>
            </w:pPr>
            <w:r>
              <w:rPr>
                <w:b/>
                <w:bCs/>
                <w:sz w:val="16"/>
              </w:rPr>
              <w:t xml:space="preserve">         4,2</w:t>
            </w: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1354EF" w:rsidRDefault="00041C34" w:rsidP="007762A1">
            <w:pPr>
              <w:widowControl w:val="0"/>
              <w:autoSpaceDE w:val="0"/>
              <w:autoSpaceDN w:val="0"/>
              <w:adjustRightInd w:val="0"/>
              <w:rPr>
                <w:b/>
                <w:sz w:val="16"/>
              </w:rPr>
            </w:pPr>
            <w:r>
              <w:rPr>
                <w:b/>
                <w:sz w:val="16"/>
              </w:rPr>
              <w:t>+30,9</w:t>
            </w:r>
          </w:p>
        </w:tc>
      </w:tr>
      <w:tr w:rsidR="00956CC1" w:rsidTr="00387149">
        <w:trPr>
          <w:trHeight w:val="167"/>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Default="00956CC1">
            <w:pPr>
              <w:widowControl w:val="0"/>
              <w:autoSpaceDE w:val="0"/>
              <w:autoSpaceDN w:val="0"/>
              <w:adjustRightInd w:val="0"/>
              <w:rPr>
                <w:b/>
                <w:sz w:val="16"/>
                <w:u w:val="single"/>
              </w:rPr>
            </w:pPr>
            <w:r>
              <w:rPr>
                <w:b/>
                <w:sz w:val="16"/>
                <w:u w:val="single"/>
              </w:rPr>
              <w:t>VALEUR AJOUTEE</w:t>
            </w:r>
          </w:p>
          <w:p w:rsidR="00956CC1" w:rsidRDefault="00956CC1">
            <w:pPr>
              <w:widowControl w:val="0"/>
              <w:autoSpaceDE w:val="0"/>
              <w:autoSpaceDN w:val="0"/>
              <w:adjustRightInd w:val="0"/>
              <w:rPr>
                <w:b/>
                <w:sz w:val="16"/>
              </w:rPr>
            </w:pPr>
            <w:r>
              <w:rPr>
                <w:b/>
                <w:sz w:val="16"/>
              </w:rPr>
              <w:t>EN MILLIONS DE  DA</w:t>
            </w:r>
          </w:p>
          <w:p w:rsidR="00956CC1" w:rsidRDefault="00956CC1">
            <w:pPr>
              <w:widowControl w:val="0"/>
              <w:autoSpaceDE w:val="0"/>
              <w:autoSpaceDN w:val="0"/>
              <w:adjustRightInd w:val="0"/>
              <w:rPr>
                <w:sz w:val="16"/>
              </w:rPr>
            </w:pP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5650B5" w:rsidRDefault="00956CC1" w:rsidP="00FF6ABF">
            <w:pPr>
              <w:widowControl w:val="0"/>
              <w:autoSpaceDE w:val="0"/>
              <w:autoSpaceDN w:val="0"/>
              <w:adjustRightInd w:val="0"/>
              <w:jc w:val="center"/>
              <w:rPr>
                <w:b/>
                <w:sz w:val="16"/>
                <w:highlight w:val="yellow"/>
              </w:rPr>
            </w:pPr>
            <w:r w:rsidRPr="005650B5">
              <w:rPr>
                <w:b/>
                <w:sz w:val="16"/>
              </w:rPr>
              <w:t>9%</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387149" w:rsidP="00523DD2">
            <w:pPr>
              <w:widowControl w:val="0"/>
              <w:autoSpaceDE w:val="0"/>
              <w:autoSpaceDN w:val="0"/>
              <w:adjustRightInd w:val="0"/>
              <w:jc w:val="center"/>
              <w:rPr>
                <w:b/>
                <w:sz w:val="16"/>
              </w:rPr>
            </w:pPr>
            <w:r>
              <w:rPr>
                <w:b/>
                <w:sz w:val="16"/>
              </w:rPr>
              <w:t>+</w:t>
            </w:r>
            <w:r w:rsidR="00523DD2">
              <w:rPr>
                <w:b/>
                <w:sz w:val="16"/>
              </w:rPr>
              <w:t>242</w:t>
            </w:r>
            <w:r w:rsidR="00FC3B80">
              <w:rPr>
                <w:b/>
                <w:sz w:val="16"/>
              </w:rPr>
              <w:t>,</w:t>
            </w:r>
            <w:r w:rsidR="00C441E7">
              <w:rPr>
                <w:b/>
                <w:sz w:val="16"/>
              </w:rPr>
              <w:t>8</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435B5E" w:rsidP="00B27E29">
            <w:pPr>
              <w:widowControl w:val="0"/>
              <w:autoSpaceDE w:val="0"/>
              <w:autoSpaceDN w:val="0"/>
              <w:adjustRightInd w:val="0"/>
              <w:rPr>
                <w:b/>
                <w:sz w:val="16"/>
              </w:rPr>
            </w:pPr>
            <w:r>
              <w:rPr>
                <w:b/>
                <w:sz w:val="16"/>
              </w:rPr>
              <w:t xml:space="preserve">          +468,5  </w:t>
            </w: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1354EF" w:rsidRDefault="00041C34" w:rsidP="002B7ACA">
            <w:pPr>
              <w:widowControl w:val="0"/>
              <w:autoSpaceDE w:val="0"/>
              <w:autoSpaceDN w:val="0"/>
              <w:adjustRightInd w:val="0"/>
              <w:rPr>
                <w:b/>
                <w:sz w:val="16"/>
              </w:rPr>
            </w:pPr>
            <w:r>
              <w:rPr>
                <w:b/>
                <w:sz w:val="16"/>
              </w:rPr>
              <w:t xml:space="preserve">       +93,0</w:t>
            </w:r>
          </w:p>
        </w:tc>
        <w:tc>
          <w:tcPr>
            <w:tcW w:w="1103" w:type="dxa"/>
            <w:tcBorders>
              <w:top w:val="single" w:sz="12" w:space="0" w:color="auto"/>
              <w:left w:val="single" w:sz="12" w:space="0" w:color="auto"/>
              <w:bottom w:val="single" w:sz="12" w:space="0" w:color="auto"/>
              <w:right w:val="single" w:sz="12" w:space="0" w:color="auto"/>
            </w:tcBorders>
            <w:vAlign w:val="center"/>
          </w:tcPr>
          <w:p w:rsidR="00956CC1" w:rsidRPr="001354EF" w:rsidRDefault="00B927C2" w:rsidP="00387149">
            <w:pPr>
              <w:widowControl w:val="0"/>
              <w:autoSpaceDE w:val="0"/>
              <w:autoSpaceDN w:val="0"/>
              <w:adjustRightInd w:val="0"/>
              <w:rPr>
                <w:b/>
                <w:bCs/>
                <w:sz w:val="16"/>
              </w:rPr>
            </w:pPr>
            <w:r>
              <w:rPr>
                <w:b/>
                <w:bCs/>
                <w:sz w:val="16"/>
              </w:rPr>
              <w:t xml:space="preserve"> +320,2</w:t>
            </w: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1354EF" w:rsidRDefault="00041C34" w:rsidP="00387149">
            <w:pPr>
              <w:widowControl w:val="0"/>
              <w:autoSpaceDE w:val="0"/>
              <w:autoSpaceDN w:val="0"/>
              <w:adjustRightInd w:val="0"/>
              <w:rPr>
                <w:b/>
                <w:sz w:val="16"/>
              </w:rPr>
            </w:pPr>
            <w:r>
              <w:rPr>
                <w:b/>
                <w:sz w:val="16"/>
              </w:rPr>
              <w:t xml:space="preserve"> -46,3</w:t>
            </w:r>
          </w:p>
        </w:tc>
      </w:tr>
      <w:tr w:rsidR="00956CC1" w:rsidTr="00387149">
        <w:trPr>
          <w:trHeight w:val="167"/>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Default="00956CC1">
            <w:pPr>
              <w:widowControl w:val="0"/>
              <w:autoSpaceDE w:val="0"/>
              <w:autoSpaceDN w:val="0"/>
              <w:adjustRightInd w:val="0"/>
              <w:rPr>
                <w:b/>
                <w:sz w:val="16"/>
                <w:u w:val="single"/>
              </w:rPr>
            </w:pPr>
            <w:r>
              <w:rPr>
                <w:b/>
                <w:sz w:val="16"/>
                <w:u w:val="single"/>
              </w:rPr>
              <w:t xml:space="preserve">EXCEDENT BRUT </w:t>
            </w:r>
          </w:p>
          <w:p w:rsidR="00956CC1" w:rsidRDefault="00956CC1">
            <w:pPr>
              <w:widowControl w:val="0"/>
              <w:autoSpaceDE w:val="0"/>
              <w:autoSpaceDN w:val="0"/>
              <w:adjustRightInd w:val="0"/>
              <w:rPr>
                <w:b/>
                <w:sz w:val="16"/>
                <w:u w:val="single"/>
              </w:rPr>
            </w:pPr>
            <w:r>
              <w:rPr>
                <w:b/>
                <w:sz w:val="16"/>
                <w:u w:val="single"/>
              </w:rPr>
              <w:t xml:space="preserve">D’EXPLOITATION </w:t>
            </w:r>
          </w:p>
          <w:p w:rsidR="00956CC1" w:rsidRDefault="00956CC1">
            <w:pPr>
              <w:widowControl w:val="0"/>
              <w:autoSpaceDE w:val="0"/>
              <w:autoSpaceDN w:val="0"/>
              <w:adjustRightInd w:val="0"/>
              <w:rPr>
                <w:b/>
                <w:sz w:val="16"/>
                <w:u w:val="single"/>
              </w:rPr>
            </w:pPr>
            <w:r>
              <w:rPr>
                <w:b/>
                <w:sz w:val="16"/>
              </w:rPr>
              <w:t>EN MILLIONS  DE DA</w:t>
            </w: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r>
              <w:rPr>
                <w:b/>
                <w:sz w:val="16"/>
              </w:rPr>
              <w:t>8%</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C441E7" w:rsidP="00523DD2">
            <w:pPr>
              <w:widowControl w:val="0"/>
              <w:autoSpaceDE w:val="0"/>
              <w:autoSpaceDN w:val="0"/>
              <w:adjustRightInd w:val="0"/>
              <w:jc w:val="center"/>
              <w:rPr>
                <w:b/>
                <w:sz w:val="16"/>
              </w:rPr>
            </w:pPr>
            <w:r>
              <w:rPr>
                <w:b/>
                <w:sz w:val="16"/>
              </w:rPr>
              <w:t>-</w:t>
            </w:r>
            <w:r w:rsidR="00523DD2">
              <w:rPr>
                <w:b/>
                <w:sz w:val="16"/>
              </w:rPr>
              <w:t>27</w:t>
            </w:r>
            <w:r w:rsidR="00FC3B80">
              <w:rPr>
                <w:b/>
                <w:sz w:val="16"/>
              </w:rPr>
              <w:t>,</w:t>
            </w:r>
            <w:r w:rsidR="00523DD2">
              <w:rPr>
                <w:b/>
                <w:sz w:val="16"/>
              </w:rPr>
              <w:t>6</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435B5E" w:rsidP="00387149">
            <w:pPr>
              <w:widowControl w:val="0"/>
              <w:autoSpaceDE w:val="0"/>
              <w:autoSpaceDN w:val="0"/>
              <w:adjustRightInd w:val="0"/>
              <w:rPr>
                <w:b/>
                <w:sz w:val="16"/>
              </w:rPr>
            </w:pPr>
            <w:r>
              <w:rPr>
                <w:b/>
                <w:sz w:val="16"/>
              </w:rPr>
              <w:t xml:space="preserve">         +145,7</w:t>
            </w: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1354EF" w:rsidRDefault="00041C34" w:rsidP="006C32E3">
            <w:pPr>
              <w:widowControl w:val="0"/>
              <w:autoSpaceDE w:val="0"/>
              <w:autoSpaceDN w:val="0"/>
              <w:adjustRightInd w:val="0"/>
              <w:rPr>
                <w:b/>
                <w:sz w:val="16"/>
              </w:rPr>
            </w:pPr>
            <w:r>
              <w:rPr>
                <w:b/>
                <w:sz w:val="16"/>
              </w:rPr>
              <w:t>+627,9</w:t>
            </w:r>
          </w:p>
        </w:tc>
        <w:tc>
          <w:tcPr>
            <w:tcW w:w="1103" w:type="dxa"/>
            <w:tcBorders>
              <w:top w:val="single" w:sz="12" w:space="0" w:color="auto"/>
              <w:left w:val="single" w:sz="12" w:space="0" w:color="auto"/>
              <w:bottom w:val="single" w:sz="12" w:space="0" w:color="auto"/>
              <w:right w:val="single" w:sz="12" w:space="0" w:color="auto"/>
            </w:tcBorders>
            <w:vAlign w:val="center"/>
          </w:tcPr>
          <w:p w:rsidR="00956CC1" w:rsidRPr="001354EF" w:rsidRDefault="00B927C2" w:rsidP="00B82F52">
            <w:pPr>
              <w:widowControl w:val="0"/>
              <w:autoSpaceDE w:val="0"/>
              <w:autoSpaceDN w:val="0"/>
              <w:adjustRightInd w:val="0"/>
              <w:rPr>
                <w:b/>
                <w:bCs/>
                <w:sz w:val="16"/>
              </w:rPr>
            </w:pPr>
            <w:r>
              <w:rPr>
                <w:b/>
                <w:bCs/>
                <w:sz w:val="16"/>
              </w:rPr>
              <w:t>+39,0</w:t>
            </w: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1354EF" w:rsidRDefault="00041C34" w:rsidP="007F13DF">
            <w:pPr>
              <w:widowControl w:val="0"/>
              <w:autoSpaceDE w:val="0"/>
              <w:autoSpaceDN w:val="0"/>
              <w:adjustRightInd w:val="0"/>
              <w:rPr>
                <w:b/>
                <w:sz w:val="16"/>
              </w:rPr>
            </w:pPr>
            <w:r>
              <w:rPr>
                <w:b/>
                <w:sz w:val="16"/>
              </w:rPr>
              <w:t xml:space="preserve"> -273,6</w:t>
            </w:r>
          </w:p>
        </w:tc>
      </w:tr>
      <w:tr w:rsidR="00956CC1" w:rsidTr="00387149">
        <w:trPr>
          <w:trHeight w:val="435"/>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Default="00956CC1" w:rsidP="00DC4158">
            <w:pPr>
              <w:widowControl w:val="0"/>
              <w:autoSpaceDE w:val="0"/>
              <w:autoSpaceDN w:val="0"/>
              <w:adjustRightInd w:val="0"/>
              <w:rPr>
                <w:b/>
                <w:sz w:val="16"/>
              </w:rPr>
            </w:pPr>
            <w:r w:rsidRPr="008366A8">
              <w:rPr>
                <w:b/>
                <w:sz w:val="16"/>
              </w:rPr>
              <w:t xml:space="preserve">INVESTISSEMENTS NETS </w:t>
            </w:r>
          </w:p>
          <w:p w:rsidR="00956CC1" w:rsidRPr="008366A8" w:rsidRDefault="00956CC1" w:rsidP="00DC4158">
            <w:pPr>
              <w:widowControl w:val="0"/>
              <w:autoSpaceDE w:val="0"/>
              <w:autoSpaceDN w:val="0"/>
              <w:adjustRightInd w:val="0"/>
              <w:rPr>
                <w:b/>
                <w:sz w:val="16"/>
              </w:rPr>
            </w:pPr>
            <w:r>
              <w:rPr>
                <w:b/>
                <w:sz w:val="16"/>
                <w:u w:val="single"/>
              </w:rPr>
              <w:t>EN MILLIONS DE DA</w:t>
            </w: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r>
              <w:rPr>
                <w:b/>
                <w:sz w:val="16"/>
              </w:rPr>
              <w:t>-</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C441E7" w:rsidP="00523DD2">
            <w:pPr>
              <w:widowControl w:val="0"/>
              <w:autoSpaceDE w:val="0"/>
              <w:autoSpaceDN w:val="0"/>
              <w:adjustRightInd w:val="0"/>
              <w:jc w:val="center"/>
              <w:rPr>
                <w:b/>
                <w:sz w:val="16"/>
              </w:rPr>
            </w:pPr>
            <w:r>
              <w:rPr>
                <w:b/>
                <w:sz w:val="16"/>
              </w:rPr>
              <w:t>7</w:t>
            </w:r>
            <w:r w:rsidR="00FC3B80">
              <w:rPr>
                <w:b/>
                <w:sz w:val="16"/>
              </w:rPr>
              <w:t>.</w:t>
            </w:r>
            <w:r w:rsidR="00523DD2">
              <w:rPr>
                <w:b/>
                <w:sz w:val="16"/>
              </w:rPr>
              <w:t>100</w:t>
            </w:r>
            <w:r w:rsidR="00FC3B80">
              <w:rPr>
                <w:b/>
                <w:sz w:val="16"/>
              </w:rPr>
              <w:t>,</w:t>
            </w:r>
            <w:r w:rsidR="00523DD2">
              <w:rPr>
                <w:b/>
                <w:sz w:val="16"/>
              </w:rPr>
              <w:t>1</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435B5E" w:rsidP="00F52666">
            <w:pPr>
              <w:widowControl w:val="0"/>
              <w:autoSpaceDE w:val="0"/>
              <w:autoSpaceDN w:val="0"/>
              <w:adjustRightInd w:val="0"/>
              <w:rPr>
                <w:b/>
                <w:sz w:val="16"/>
              </w:rPr>
            </w:pPr>
            <w:r>
              <w:rPr>
                <w:b/>
                <w:sz w:val="16"/>
              </w:rPr>
              <w:t xml:space="preserve">          6.569,2</w:t>
            </w: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613D7E" w:rsidRDefault="00041C34" w:rsidP="009818DF">
            <w:pPr>
              <w:widowControl w:val="0"/>
              <w:autoSpaceDE w:val="0"/>
              <w:autoSpaceDN w:val="0"/>
              <w:adjustRightInd w:val="0"/>
              <w:rPr>
                <w:b/>
                <w:sz w:val="16"/>
              </w:rPr>
            </w:pPr>
            <w:r>
              <w:rPr>
                <w:b/>
                <w:sz w:val="16"/>
              </w:rPr>
              <w:t>-</w:t>
            </w:r>
            <w:r w:rsidR="004A5F5E">
              <w:rPr>
                <w:b/>
                <w:sz w:val="16"/>
              </w:rPr>
              <w:t>7,5</w:t>
            </w:r>
          </w:p>
        </w:tc>
        <w:tc>
          <w:tcPr>
            <w:tcW w:w="1103" w:type="dxa"/>
            <w:tcBorders>
              <w:top w:val="single" w:sz="12" w:space="0" w:color="auto"/>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bCs/>
              </w:rPr>
            </w:pPr>
            <w:r w:rsidRPr="001354EF">
              <w:rPr>
                <w:b/>
                <w:bCs/>
              </w:rPr>
              <w:t>-</w:t>
            </w: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382219" w:rsidRDefault="00956CC1" w:rsidP="002F7B0D">
            <w:pPr>
              <w:widowControl w:val="0"/>
              <w:autoSpaceDE w:val="0"/>
              <w:autoSpaceDN w:val="0"/>
              <w:adjustRightInd w:val="0"/>
              <w:jc w:val="center"/>
              <w:rPr>
                <w:b/>
                <w:sz w:val="16"/>
                <w:szCs w:val="16"/>
              </w:rPr>
            </w:pPr>
            <w:r>
              <w:rPr>
                <w:b/>
                <w:sz w:val="16"/>
                <w:szCs w:val="16"/>
              </w:rPr>
              <w:t>-</w:t>
            </w:r>
          </w:p>
        </w:tc>
      </w:tr>
      <w:tr w:rsidR="00956CC1" w:rsidTr="00387149">
        <w:trPr>
          <w:trHeight w:val="435"/>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Pr="00B02047" w:rsidRDefault="00956CC1" w:rsidP="00DC4158">
            <w:pPr>
              <w:widowControl w:val="0"/>
              <w:autoSpaceDE w:val="0"/>
              <w:autoSpaceDN w:val="0"/>
              <w:adjustRightInd w:val="0"/>
              <w:rPr>
                <w:b/>
                <w:sz w:val="16"/>
                <w:u w:val="single"/>
              </w:rPr>
            </w:pPr>
            <w:r w:rsidRPr="00B02047">
              <w:rPr>
                <w:b/>
                <w:sz w:val="16"/>
                <w:u w:val="single"/>
              </w:rPr>
              <w:t>FONDS PROPRES</w:t>
            </w:r>
          </w:p>
          <w:p w:rsidR="00956CC1" w:rsidRPr="008366A8" w:rsidRDefault="00956CC1" w:rsidP="00DC4158">
            <w:pPr>
              <w:widowControl w:val="0"/>
              <w:autoSpaceDE w:val="0"/>
              <w:autoSpaceDN w:val="0"/>
              <w:adjustRightInd w:val="0"/>
              <w:rPr>
                <w:b/>
                <w:sz w:val="16"/>
              </w:rPr>
            </w:pPr>
            <w:r w:rsidRPr="00B02047">
              <w:rPr>
                <w:b/>
                <w:sz w:val="16"/>
              </w:rPr>
              <w:t xml:space="preserve"> DETTES LMT</w:t>
            </w: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r>
              <w:rPr>
                <w:b/>
                <w:sz w:val="16"/>
              </w:rPr>
              <w:t>-</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C441E7" w:rsidP="00523DD2">
            <w:pPr>
              <w:widowControl w:val="0"/>
              <w:autoSpaceDE w:val="0"/>
              <w:autoSpaceDN w:val="0"/>
              <w:adjustRightInd w:val="0"/>
              <w:jc w:val="center"/>
              <w:rPr>
                <w:b/>
                <w:sz w:val="16"/>
              </w:rPr>
            </w:pPr>
            <w:r>
              <w:rPr>
                <w:b/>
                <w:sz w:val="16"/>
              </w:rPr>
              <w:t>0</w:t>
            </w:r>
            <w:r w:rsidR="00FC3B80">
              <w:rPr>
                <w:b/>
                <w:sz w:val="16"/>
              </w:rPr>
              <w:t>,</w:t>
            </w:r>
            <w:r w:rsidR="00523DD2">
              <w:rPr>
                <w:b/>
                <w:sz w:val="16"/>
              </w:rPr>
              <w:t>72</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435B5E" w:rsidP="00F52666">
            <w:pPr>
              <w:widowControl w:val="0"/>
              <w:autoSpaceDE w:val="0"/>
              <w:autoSpaceDN w:val="0"/>
              <w:adjustRightInd w:val="0"/>
              <w:rPr>
                <w:b/>
                <w:sz w:val="16"/>
              </w:rPr>
            </w:pPr>
            <w:r>
              <w:rPr>
                <w:b/>
                <w:sz w:val="16"/>
              </w:rPr>
              <w:t xml:space="preserve">            0,66</w:t>
            </w: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613D7E" w:rsidRDefault="004A5F5E" w:rsidP="00387149">
            <w:pPr>
              <w:widowControl w:val="0"/>
              <w:autoSpaceDE w:val="0"/>
              <w:autoSpaceDN w:val="0"/>
              <w:adjustRightInd w:val="0"/>
              <w:rPr>
                <w:b/>
                <w:sz w:val="16"/>
              </w:rPr>
            </w:pPr>
            <w:r>
              <w:rPr>
                <w:b/>
                <w:sz w:val="16"/>
              </w:rPr>
              <w:t xml:space="preserve"> -8,3</w:t>
            </w:r>
          </w:p>
        </w:tc>
        <w:tc>
          <w:tcPr>
            <w:tcW w:w="1103" w:type="dxa"/>
            <w:tcBorders>
              <w:top w:val="single" w:sz="12" w:space="0" w:color="auto"/>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bCs/>
              </w:rPr>
            </w:pPr>
            <w:r w:rsidRPr="001354EF">
              <w:rPr>
                <w:b/>
                <w:bCs/>
              </w:rPr>
              <w:t>-</w:t>
            </w: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382219" w:rsidRDefault="00956CC1" w:rsidP="002F7B0D">
            <w:pPr>
              <w:widowControl w:val="0"/>
              <w:autoSpaceDE w:val="0"/>
              <w:autoSpaceDN w:val="0"/>
              <w:adjustRightInd w:val="0"/>
              <w:jc w:val="center"/>
              <w:rPr>
                <w:b/>
                <w:sz w:val="16"/>
                <w:szCs w:val="16"/>
              </w:rPr>
            </w:pPr>
            <w:r>
              <w:rPr>
                <w:b/>
                <w:sz w:val="16"/>
                <w:szCs w:val="16"/>
              </w:rPr>
              <w:t>-</w:t>
            </w:r>
          </w:p>
        </w:tc>
      </w:tr>
      <w:tr w:rsidR="00956CC1" w:rsidTr="00387149">
        <w:trPr>
          <w:trHeight w:val="435"/>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Default="00956CC1" w:rsidP="00DC4158">
            <w:pPr>
              <w:widowControl w:val="0"/>
              <w:autoSpaceDE w:val="0"/>
              <w:autoSpaceDN w:val="0"/>
              <w:adjustRightInd w:val="0"/>
              <w:rPr>
                <w:b/>
                <w:sz w:val="16"/>
              </w:rPr>
            </w:pPr>
            <w:r w:rsidRPr="008366A8">
              <w:rPr>
                <w:b/>
                <w:sz w:val="16"/>
              </w:rPr>
              <w:t xml:space="preserve">CREANCES </w:t>
            </w:r>
            <w:r>
              <w:rPr>
                <w:b/>
                <w:sz w:val="16"/>
              </w:rPr>
              <w:t xml:space="preserve">BRUTES SUR </w:t>
            </w:r>
            <w:r w:rsidRPr="008366A8">
              <w:rPr>
                <w:b/>
                <w:sz w:val="16"/>
              </w:rPr>
              <w:t xml:space="preserve">CLIENTS </w:t>
            </w:r>
          </w:p>
          <w:p w:rsidR="00956CC1" w:rsidRPr="008366A8" w:rsidRDefault="00956CC1" w:rsidP="00DC4158">
            <w:pPr>
              <w:widowControl w:val="0"/>
              <w:autoSpaceDE w:val="0"/>
              <w:autoSpaceDN w:val="0"/>
              <w:adjustRightInd w:val="0"/>
              <w:rPr>
                <w:b/>
                <w:sz w:val="16"/>
              </w:rPr>
            </w:pPr>
            <w:r>
              <w:rPr>
                <w:b/>
                <w:sz w:val="16"/>
                <w:u w:val="single"/>
              </w:rPr>
              <w:t>EN MILLIONS DE DA</w:t>
            </w: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425BBA" w:rsidRDefault="00956CC1" w:rsidP="00FF6ABF">
            <w:pPr>
              <w:widowControl w:val="0"/>
              <w:autoSpaceDE w:val="0"/>
              <w:autoSpaceDN w:val="0"/>
              <w:adjustRightInd w:val="0"/>
              <w:jc w:val="center"/>
              <w:rPr>
                <w:b/>
                <w:sz w:val="16"/>
                <w:highlight w:val="yellow"/>
              </w:rPr>
            </w:pPr>
            <w:r>
              <w:rPr>
                <w:b/>
                <w:sz w:val="16"/>
                <w:highlight w:val="yellow"/>
              </w:rPr>
              <w:t>-</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523DD2" w:rsidP="008976C2">
            <w:pPr>
              <w:widowControl w:val="0"/>
              <w:autoSpaceDE w:val="0"/>
              <w:autoSpaceDN w:val="0"/>
              <w:adjustRightInd w:val="0"/>
              <w:jc w:val="center"/>
              <w:rPr>
                <w:b/>
                <w:sz w:val="16"/>
              </w:rPr>
            </w:pPr>
            <w:r>
              <w:rPr>
                <w:b/>
                <w:sz w:val="16"/>
              </w:rPr>
              <w:t>530</w:t>
            </w:r>
            <w:r w:rsidR="00FC3B80">
              <w:rPr>
                <w:b/>
                <w:sz w:val="16"/>
              </w:rPr>
              <w:t>,</w:t>
            </w:r>
            <w:r w:rsidR="00C441E7">
              <w:rPr>
                <w:b/>
                <w:sz w:val="16"/>
              </w:rPr>
              <w:t>1</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435B5E" w:rsidP="00F52666">
            <w:pPr>
              <w:widowControl w:val="0"/>
              <w:autoSpaceDE w:val="0"/>
              <w:autoSpaceDN w:val="0"/>
              <w:adjustRightInd w:val="0"/>
              <w:rPr>
                <w:b/>
                <w:sz w:val="16"/>
              </w:rPr>
            </w:pPr>
            <w:r>
              <w:rPr>
                <w:b/>
                <w:sz w:val="16"/>
              </w:rPr>
              <w:t xml:space="preserve">           582,6</w:t>
            </w: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1354EF" w:rsidRDefault="004A5F5E" w:rsidP="00387149">
            <w:pPr>
              <w:widowControl w:val="0"/>
              <w:autoSpaceDE w:val="0"/>
              <w:autoSpaceDN w:val="0"/>
              <w:adjustRightInd w:val="0"/>
              <w:rPr>
                <w:b/>
                <w:sz w:val="16"/>
              </w:rPr>
            </w:pPr>
            <w:r>
              <w:rPr>
                <w:b/>
                <w:sz w:val="16"/>
              </w:rPr>
              <w:t>+9,9</w:t>
            </w:r>
          </w:p>
        </w:tc>
        <w:tc>
          <w:tcPr>
            <w:tcW w:w="1103" w:type="dxa"/>
            <w:tcBorders>
              <w:top w:val="single" w:sz="12" w:space="0" w:color="auto"/>
              <w:left w:val="single" w:sz="12" w:space="0" w:color="auto"/>
              <w:bottom w:val="single" w:sz="12" w:space="0" w:color="auto"/>
              <w:right w:val="single" w:sz="12" w:space="0" w:color="auto"/>
            </w:tcBorders>
            <w:vAlign w:val="center"/>
          </w:tcPr>
          <w:p w:rsidR="00956CC1" w:rsidRPr="001354EF" w:rsidRDefault="00956CC1" w:rsidP="00377860">
            <w:pPr>
              <w:widowControl w:val="0"/>
              <w:autoSpaceDE w:val="0"/>
              <w:autoSpaceDN w:val="0"/>
              <w:adjustRightInd w:val="0"/>
              <w:rPr>
                <w:b/>
                <w:bCs/>
                <w:sz w:val="16"/>
              </w:rPr>
            </w:pPr>
            <w:r>
              <w:rPr>
                <w:b/>
                <w:bCs/>
                <w:sz w:val="16"/>
              </w:rPr>
              <w:t>-</w:t>
            </w: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1354EF" w:rsidRDefault="00956CC1" w:rsidP="00382219">
            <w:pPr>
              <w:widowControl w:val="0"/>
              <w:autoSpaceDE w:val="0"/>
              <w:autoSpaceDN w:val="0"/>
              <w:adjustRightInd w:val="0"/>
              <w:rPr>
                <w:b/>
                <w:sz w:val="16"/>
              </w:rPr>
            </w:pPr>
            <w:r>
              <w:rPr>
                <w:b/>
                <w:sz w:val="16"/>
              </w:rPr>
              <w:t>-</w:t>
            </w:r>
          </w:p>
        </w:tc>
      </w:tr>
      <w:tr w:rsidR="00956CC1" w:rsidTr="00387149">
        <w:trPr>
          <w:trHeight w:val="435"/>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Pr="006022DA" w:rsidRDefault="00956CC1" w:rsidP="00DC4158">
            <w:pPr>
              <w:widowControl w:val="0"/>
              <w:autoSpaceDE w:val="0"/>
              <w:autoSpaceDN w:val="0"/>
              <w:adjustRightInd w:val="0"/>
              <w:rPr>
                <w:b/>
                <w:sz w:val="16"/>
              </w:rPr>
            </w:pPr>
            <w:r w:rsidRPr="006022DA">
              <w:rPr>
                <w:b/>
                <w:sz w:val="16"/>
                <w:u w:val="single"/>
              </w:rPr>
              <w:t xml:space="preserve">CREANCES CLIENTS </w:t>
            </w:r>
            <w:r w:rsidRPr="006022DA">
              <w:rPr>
                <w:b/>
                <w:sz w:val="16"/>
              </w:rPr>
              <w:t>*360</w:t>
            </w:r>
          </w:p>
          <w:p w:rsidR="00956CC1" w:rsidRPr="006022DA" w:rsidRDefault="00956CC1" w:rsidP="00DC4158">
            <w:pPr>
              <w:widowControl w:val="0"/>
              <w:autoSpaceDE w:val="0"/>
              <w:autoSpaceDN w:val="0"/>
              <w:adjustRightInd w:val="0"/>
              <w:rPr>
                <w:b/>
                <w:sz w:val="16"/>
                <w:u w:val="single"/>
              </w:rPr>
            </w:pPr>
            <w:r>
              <w:rPr>
                <w:b/>
                <w:sz w:val="16"/>
                <w:u w:val="single"/>
              </w:rPr>
              <w:t xml:space="preserve">CHIFFRE D’AFFAIRES </w:t>
            </w: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r>
              <w:rPr>
                <w:b/>
                <w:sz w:val="16"/>
              </w:rPr>
              <w:t>-</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523DD2" w:rsidP="002F7B0D">
            <w:pPr>
              <w:widowControl w:val="0"/>
              <w:autoSpaceDE w:val="0"/>
              <w:autoSpaceDN w:val="0"/>
              <w:adjustRightInd w:val="0"/>
              <w:jc w:val="center"/>
              <w:rPr>
                <w:b/>
                <w:sz w:val="16"/>
              </w:rPr>
            </w:pPr>
            <w:r>
              <w:rPr>
                <w:b/>
                <w:sz w:val="16"/>
              </w:rPr>
              <w:t xml:space="preserve">378 </w:t>
            </w:r>
            <w:r w:rsidR="00FC3B80">
              <w:rPr>
                <w:b/>
                <w:sz w:val="16"/>
              </w:rPr>
              <w:t>Jours</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8B367D" w:rsidRDefault="00BD0ACF" w:rsidP="00D827C9">
            <w:pPr>
              <w:widowControl w:val="0"/>
              <w:autoSpaceDE w:val="0"/>
              <w:autoSpaceDN w:val="0"/>
              <w:adjustRightInd w:val="0"/>
              <w:rPr>
                <w:b/>
                <w:sz w:val="18"/>
                <w:szCs w:val="18"/>
              </w:rPr>
            </w:pPr>
            <w:r>
              <w:rPr>
                <w:b/>
                <w:sz w:val="18"/>
                <w:szCs w:val="18"/>
              </w:rPr>
              <w:t xml:space="preserve">       282 Jours</w:t>
            </w: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562AA7" w:rsidRDefault="004A5F5E" w:rsidP="00562AA7">
            <w:pPr>
              <w:widowControl w:val="0"/>
              <w:autoSpaceDE w:val="0"/>
              <w:autoSpaceDN w:val="0"/>
              <w:adjustRightInd w:val="0"/>
              <w:rPr>
                <w:b/>
                <w:sz w:val="16"/>
                <w:szCs w:val="16"/>
              </w:rPr>
            </w:pPr>
            <w:r>
              <w:rPr>
                <w:b/>
                <w:sz w:val="16"/>
                <w:szCs w:val="16"/>
              </w:rPr>
              <w:t>-25,4</w:t>
            </w:r>
          </w:p>
        </w:tc>
        <w:tc>
          <w:tcPr>
            <w:tcW w:w="1103" w:type="dxa"/>
            <w:tcBorders>
              <w:top w:val="single" w:sz="12" w:space="0" w:color="auto"/>
              <w:left w:val="single" w:sz="12" w:space="0" w:color="auto"/>
              <w:bottom w:val="single" w:sz="12" w:space="0" w:color="auto"/>
              <w:right w:val="single" w:sz="12" w:space="0" w:color="auto"/>
            </w:tcBorders>
            <w:vAlign w:val="center"/>
          </w:tcPr>
          <w:p w:rsidR="00956CC1" w:rsidRPr="007043FD" w:rsidRDefault="00956CC1" w:rsidP="000935C4">
            <w:pPr>
              <w:widowControl w:val="0"/>
              <w:autoSpaceDE w:val="0"/>
              <w:autoSpaceDN w:val="0"/>
              <w:adjustRightInd w:val="0"/>
              <w:rPr>
                <w:b/>
                <w:bCs/>
                <w:sz w:val="16"/>
                <w:szCs w:val="16"/>
              </w:rPr>
            </w:pPr>
            <w:r>
              <w:rPr>
                <w:b/>
                <w:bCs/>
                <w:sz w:val="16"/>
                <w:szCs w:val="16"/>
              </w:rPr>
              <w:t xml:space="preserve"> -</w:t>
            </w: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7043FD" w:rsidRDefault="00956CC1" w:rsidP="00E555B3">
            <w:pPr>
              <w:widowControl w:val="0"/>
              <w:autoSpaceDE w:val="0"/>
              <w:autoSpaceDN w:val="0"/>
              <w:adjustRightInd w:val="0"/>
              <w:rPr>
                <w:b/>
                <w:sz w:val="16"/>
                <w:szCs w:val="16"/>
              </w:rPr>
            </w:pPr>
            <w:r>
              <w:rPr>
                <w:b/>
                <w:sz w:val="16"/>
                <w:szCs w:val="16"/>
              </w:rPr>
              <w:t>-</w:t>
            </w:r>
          </w:p>
        </w:tc>
      </w:tr>
      <w:tr w:rsidR="00956CC1" w:rsidTr="00387149">
        <w:trPr>
          <w:trHeight w:val="435"/>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Default="00956CC1" w:rsidP="00DC4158">
            <w:pPr>
              <w:widowControl w:val="0"/>
              <w:autoSpaceDE w:val="0"/>
              <w:autoSpaceDN w:val="0"/>
              <w:adjustRightInd w:val="0"/>
              <w:rPr>
                <w:b/>
                <w:sz w:val="16"/>
              </w:rPr>
            </w:pPr>
            <w:r>
              <w:rPr>
                <w:b/>
                <w:sz w:val="16"/>
              </w:rPr>
              <w:t xml:space="preserve">TRESORERIE NETTE </w:t>
            </w:r>
          </w:p>
          <w:p w:rsidR="00956CC1" w:rsidRPr="008366A8" w:rsidRDefault="00956CC1" w:rsidP="00DC4158">
            <w:pPr>
              <w:widowControl w:val="0"/>
              <w:autoSpaceDE w:val="0"/>
              <w:autoSpaceDN w:val="0"/>
              <w:adjustRightInd w:val="0"/>
              <w:rPr>
                <w:b/>
                <w:sz w:val="16"/>
              </w:rPr>
            </w:pPr>
            <w:r>
              <w:rPr>
                <w:b/>
                <w:sz w:val="16"/>
                <w:u w:val="single"/>
              </w:rPr>
              <w:t>EN MILLIONS DE DA</w:t>
            </w: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r>
              <w:rPr>
                <w:b/>
                <w:sz w:val="16"/>
              </w:rPr>
              <w:t>-</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B27E29" w:rsidP="00523DD2">
            <w:pPr>
              <w:widowControl w:val="0"/>
              <w:autoSpaceDE w:val="0"/>
              <w:autoSpaceDN w:val="0"/>
              <w:adjustRightInd w:val="0"/>
              <w:jc w:val="center"/>
              <w:rPr>
                <w:b/>
                <w:sz w:val="16"/>
              </w:rPr>
            </w:pPr>
            <w:r>
              <w:rPr>
                <w:b/>
                <w:sz w:val="16"/>
              </w:rPr>
              <w:t>+</w:t>
            </w:r>
            <w:r w:rsidR="00523DD2">
              <w:rPr>
                <w:b/>
                <w:sz w:val="16"/>
              </w:rPr>
              <w:t>879</w:t>
            </w:r>
            <w:r w:rsidR="00FC3B80">
              <w:rPr>
                <w:b/>
                <w:sz w:val="16"/>
              </w:rPr>
              <w:t>,</w:t>
            </w:r>
            <w:r w:rsidR="00523DD2">
              <w:rPr>
                <w:b/>
                <w:sz w:val="16"/>
              </w:rPr>
              <w:t>9</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435B5E" w:rsidP="00F52666">
            <w:pPr>
              <w:widowControl w:val="0"/>
              <w:autoSpaceDE w:val="0"/>
              <w:autoSpaceDN w:val="0"/>
              <w:adjustRightInd w:val="0"/>
              <w:rPr>
                <w:b/>
                <w:sz w:val="16"/>
              </w:rPr>
            </w:pPr>
            <w:r>
              <w:rPr>
                <w:b/>
                <w:sz w:val="16"/>
              </w:rPr>
              <w:t xml:space="preserve">         +873,0</w:t>
            </w: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1354EF" w:rsidRDefault="004A5F5E" w:rsidP="000935C4">
            <w:pPr>
              <w:widowControl w:val="0"/>
              <w:autoSpaceDE w:val="0"/>
              <w:autoSpaceDN w:val="0"/>
              <w:adjustRightInd w:val="0"/>
              <w:rPr>
                <w:b/>
                <w:sz w:val="16"/>
              </w:rPr>
            </w:pPr>
            <w:r>
              <w:rPr>
                <w:b/>
                <w:sz w:val="16"/>
              </w:rPr>
              <w:t>-0,8</w:t>
            </w:r>
          </w:p>
        </w:tc>
        <w:tc>
          <w:tcPr>
            <w:tcW w:w="1103" w:type="dxa"/>
            <w:tcBorders>
              <w:top w:val="single" w:sz="12" w:space="0" w:color="auto"/>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bCs/>
              </w:rPr>
            </w:pPr>
            <w:r w:rsidRPr="001354EF">
              <w:rPr>
                <w:b/>
                <w:bCs/>
              </w:rPr>
              <w:t>-</w:t>
            </w: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382219" w:rsidRDefault="00956CC1" w:rsidP="002F7B0D">
            <w:pPr>
              <w:widowControl w:val="0"/>
              <w:autoSpaceDE w:val="0"/>
              <w:autoSpaceDN w:val="0"/>
              <w:adjustRightInd w:val="0"/>
              <w:jc w:val="center"/>
              <w:rPr>
                <w:b/>
                <w:sz w:val="16"/>
                <w:szCs w:val="16"/>
              </w:rPr>
            </w:pPr>
            <w:r>
              <w:rPr>
                <w:b/>
                <w:sz w:val="16"/>
                <w:szCs w:val="16"/>
              </w:rPr>
              <w:t>-</w:t>
            </w:r>
          </w:p>
        </w:tc>
      </w:tr>
      <w:tr w:rsidR="00956CC1" w:rsidTr="00387149">
        <w:trPr>
          <w:trHeight w:val="435"/>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Default="00956CC1" w:rsidP="00DC4158">
            <w:pPr>
              <w:widowControl w:val="0"/>
              <w:autoSpaceDE w:val="0"/>
              <w:autoSpaceDN w:val="0"/>
              <w:adjustRightInd w:val="0"/>
              <w:rPr>
                <w:b/>
                <w:sz w:val="16"/>
                <w:u w:val="single"/>
              </w:rPr>
            </w:pPr>
            <w:r w:rsidRPr="007F2ADF">
              <w:rPr>
                <w:b/>
                <w:sz w:val="16"/>
                <w:u w:val="single"/>
              </w:rPr>
              <w:t xml:space="preserve">VALEUR AJOUTEE </w:t>
            </w:r>
          </w:p>
          <w:p w:rsidR="00956CC1" w:rsidRPr="007F2ADF" w:rsidRDefault="00956CC1" w:rsidP="00DC4158">
            <w:pPr>
              <w:widowControl w:val="0"/>
              <w:autoSpaceDE w:val="0"/>
              <w:autoSpaceDN w:val="0"/>
              <w:adjustRightInd w:val="0"/>
              <w:rPr>
                <w:b/>
                <w:sz w:val="16"/>
                <w:u w:val="single"/>
              </w:rPr>
            </w:pPr>
            <w:r>
              <w:rPr>
                <w:b/>
                <w:sz w:val="16"/>
                <w:u w:val="single"/>
              </w:rPr>
              <w:t xml:space="preserve">CHIFFRE D’AFFAIRES </w:t>
            </w: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r>
              <w:rPr>
                <w:b/>
                <w:sz w:val="16"/>
              </w:rPr>
              <w:t>-</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FC3B80" w:rsidP="00523DD2">
            <w:pPr>
              <w:widowControl w:val="0"/>
              <w:autoSpaceDE w:val="0"/>
              <w:autoSpaceDN w:val="0"/>
              <w:adjustRightInd w:val="0"/>
              <w:jc w:val="center"/>
              <w:rPr>
                <w:b/>
                <w:sz w:val="16"/>
              </w:rPr>
            </w:pPr>
            <w:r>
              <w:rPr>
                <w:b/>
                <w:sz w:val="16"/>
              </w:rPr>
              <w:t>0,</w:t>
            </w:r>
            <w:r w:rsidR="00523DD2">
              <w:rPr>
                <w:b/>
                <w:sz w:val="16"/>
              </w:rPr>
              <w:t>60</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0068B8" w:rsidRDefault="00435B5E" w:rsidP="00387149">
            <w:pPr>
              <w:widowControl w:val="0"/>
              <w:autoSpaceDE w:val="0"/>
              <w:autoSpaceDN w:val="0"/>
              <w:adjustRightInd w:val="0"/>
              <w:rPr>
                <w:b/>
                <w:sz w:val="16"/>
                <w:szCs w:val="16"/>
              </w:rPr>
            </w:pPr>
            <w:r>
              <w:rPr>
                <w:b/>
                <w:sz w:val="16"/>
                <w:szCs w:val="16"/>
              </w:rPr>
              <w:t xml:space="preserve">           0,69</w:t>
            </w: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1354EF" w:rsidRDefault="004A5F5E" w:rsidP="003A3A86">
            <w:pPr>
              <w:widowControl w:val="0"/>
              <w:autoSpaceDE w:val="0"/>
              <w:autoSpaceDN w:val="0"/>
              <w:adjustRightInd w:val="0"/>
              <w:rPr>
                <w:b/>
                <w:sz w:val="16"/>
              </w:rPr>
            </w:pPr>
            <w:r>
              <w:rPr>
                <w:b/>
                <w:sz w:val="16"/>
              </w:rPr>
              <w:t xml:space="preserve"> +15,0</w:t>
            </w:r>
          </w:p>
        </w:tc>
        <w:tc>
          <w:tcPr>
            <w:tcW w:w="1103" w:type="dxa"/>
            <w:tcBorders>
              <w:top w:val="single" w:sz="12" w:space="0" w:color="auto"/>
              <w:left w:val="single" w:sz="12" w:space="0" w:color="auto"/>
              <w:bottom w:val="single" w:sz="12" w:space="0" w:color="auto"/>
              <w:right w:val="single" w:sz="12" w:space="0" w:color="auto"/>
            </w:tcBorders>
            <w:vAlign w:val="center"/>
          </w:tcPr>
          <w:p w:rsidR="00956CC1" w:rsidRPr="003222F3" w:rsidRDefault="00B927C2" w:rsidP="008216AE">
            <w:pPr>
              <w:widowControl w:val="0"/>
              <w:autoSpaceDE w:val="0"/>
              <w:autoSpaceDN w:val="0"/>
              <w:adjustRightInd w:val="0"/>
              <w:rPr>
                <w:b/>
                <w:bCs/>
                <w:sz w:val="16"/>
                <w:szCs w:val="16"/>
              </w:rPr>
            </w:pPr>
            <w:r>
              <w:rPr>
                <w:b/>
                <w:bCs/>
                <w:sz w:val="16"/>
                <w:szCs w:val="16"/>
              </w:rPr>
              <w:t>0,62</w:t>
            </w: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314EC2" w:rsidRDefault="004A5F5E" w:rsidP="00387149">
            <w:pPr>
              <w:widowControl w:val="0"/>
              <w:autoSpaceDE w:val="0"/>
              <w:autoSpaceDN w:val="0"/>
              <w:adjustRightInd w:val="0"/>
              <w:rPr>
                <w:b/>
                <w:sz w:val="16"/>
                <w:szCs w:val="16"/>
              </w:rPr>
            </w:pPr>
            <w:r>
              <w:rPr>
                <w:b/>
                <w:sz w:val="16"/>
                <w:szCs w:val="16"/>
              </w:rPr>
              <w:t>+11,2</w:t>
            </w:r>
          </w:p>
        </w:tc>
      </w:tr>
      <w:tr w:rsidR="00956CC1" w:rsidTr="00387149">
        <w:trPr>
          <w:trHeight w:val="449"/>
          <w:jc w:val="center"/>
        </w:trPr>
        <w:tc>
          <w:tcPr>
            <w:tcW w:w="3000"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Default="00956CC1">
            <w:pPr>
              <w:widowControl w:val="0"/>
              <w:autoSpaceDE w:val="0"/>
              <w:autoSpaceDN w:val="0"/>
              <w:adjustRightInd w:val="0"/>
              <w:rPr>
                <w:b/>
                <w:sz w:val="16"/>
              </w:rPr>
            </w:pPr>
            <w:r>
              <w:rPr>
                <w:b/>
                <w:sz w:val="16"/>
              </w:rPr>
              <w:t>EFFECTIFS</w:t>
            </w:r>
          </w:p>
        </w:tc>
        <w:tc>
          <w:tcPr>
            <w:tcW w:w="918"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Pr="003A6736" w:rsidRDefault="00956CC1" w:rsidP="00FF6ABF">
            <w:pPr>
              <w:widowControl w:val="0"/>
              <w:autoSpaceDE w:val="0"/>
              <w:autoSpaceDN w:val="0"/>
              <w:adjustRightInd w:val="0"/>
              <w:jc w:val="center"/>
              <w:rPr>
                <w:b/>
                <w:sz w:val="16"/>
              </w:rPr>
            </w:pPr>
            <w:r>
              <w:rPr>
                <w:b/>
                <w:sz w:val="16"/>
              </w:rPr>
              <w:t>702</w:t>
            </w:r>
          </w:p>
        </w:tc>
        <w:tc>
          <w:tcPr>
            <w:tcW w:w="1432"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Pr="001354EF" w:rsidRDefault="00523DD2" w:rsidP="002F7B0D">
            <w:pPr>
              <w:widowControl w:val="0"/>
              <w:autoSpaceDE w:val="0"/>
              <w:autoSpaceDN w:val="0"/>
              <w:adjustRightInd w:val="0"/>
              <w:jc w:val="center"/>
              <w:rPr>
                <w:b/>
                <w:sz w:val="16"/>
              </w:rPr>
            </w:pPr>
            <w:r>
              <w:rPr>
                <w:b/>
                <w:sz w:val="16"/>
              </w:rPr>
              <w:t>761</w:t>
            </w:r>
          </w:p>
        </w:tc>
        <w:tc>
          <w:tcPr>
            <w:tcW w:w="1432"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Pr="001354EF" w:rsidRDefault="003B36C7" w:rsidP="00387149">
            <w:pPr>
              <w:widowControl w:val="0"/>
              <w:autoSpaceDE w:val="0"/>
              <w:autoSpaceDN w:val="0"/>
              <w:adjustRightInd w:val="0"/>
              <w:rPr>
                <w:b/>
                <w:sz w:val="16"/>
              </w:rPr>
            </w:pPr>
            <w:r>
              <w:rPr>
                <w:b/>
                <w:sz w:val="16"/>
              </w:rPr>
              <w:t>738</w:t>
            </w:r>
          </w:p>
        </w:tc>
        <w:tc>
          <w:tcPr>
            <w:tcW w:w="1255"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Pr="001354EF" w:rsidRDefault="00A006F5" w:rsidP="003A3A86">
            <w:pPr>
              <w:widowControl w:val="0"/>
              <w:autoSpaceDE w:val="0"/>
              <w:autoSpaceDN w:val="0"/>
              <w:adjustRightInd w:val="0"/>
              <w:rPr>
                <w:b/>
                <w:sz w:val="16"/>
              </w:rPr>
            </w:pPr>
            <w:r>
              <w:rPr>
                <w:b/>
                <w:sz w:val="16"/>
              </w:rPr>
              <w:t xml:space="preserve">   -30,2</w:t>
            </w:r>
          </w:p>
        </w:tc>
        <w:tc>
          <w:tcPr>
            <w:tcW w:w="1103"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Pr="001354EF" w:rsidRDefault="00A006F5" w:rsidP="008216AE">
            <w:pPr>
              <w:widowControl w:val="0"/>
              <w:autoSpaceDE w:val="0"/>
              <w:autoSpaceDN w:val="0"/>
              <w:adjustRightInd w:val="0"/>
              <w:rPr>
                <w:b/>
                <w:bCs/>
                <w:sz w:val="16"/>
              </w:rPr>
            </w:pPr>
            <w:r>
              <w:rPr>
                <w:b/>
                <w:bCs/>
                <w:sz w:val="16"/>
              </w:rPr>
              <w:t xml:space="preserve">          769</w:t>
            </w:r>
          </w:p>
        </w:tc>
        <w:tc>
          <w:tcPr>
            <w:tcW w:w="1033" w:type="dxa"/>
            <w:tcBorders>
              <w:top w:val="single" w:sz="12" w:space="0" w:color="auto"/>
              <w:left w:val="single" w:sz="12" w:space="0" w:color="auto"/>
              <w:bottom w:val="single" w:sz="12" w:space="0" w:color="auto"/>
              <w:right w:val="single" w:sz="12" w:space="0" w:color="auto"/>
            </w:tcBorders>
            <w:shd w:val="clear" w:color="auto" w:fill="00FFFF"/>
            <w:vAlign w:val="center"/>
          </w:tcPr>
          <w:p w:rsidR="00956CC1" w:rsidRPr="001354EF" w:rsidRDefault="00A006F5" w:rsidP="00A006F5">
            <w:pPr>
              <w:widowControl w:val="0"/>
              <w:autoSpaceDE w:val="0"/>
              <w:autoSpaceDN w:val="0"/>
              <w:adjustRightInd w:val="0"/>
              <w:rPr>
                <w:b/>
                <w:sz w:val="16"/>
              </w:rPr>
            </w:pPr>
            <w:r>
              <w:rPr>
                <w:b/>
                <w:sz w:val="16"/>
              </w:rPr>
              <w:t xml:space="preserve">        -4,3</w:t>
            </w:r>
          </w:p>
        </w:tc>
      </w:tr>
      <w:tr w:rsidR="00956CC1" w:rsidTr="00387149">
        <w:trPr>
          <w:trHeight w:val="167"/>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Pr="008366A8" w:rsidRDefault="00956CC1">
            <w:pPr>
              <w:widowControl w:val="0"/>
              <w:autoSpaceDE w:val="0"/>
              <w:autoSpaceDN w:val="0"/>
              <w:adjustRightInd w:val="0"/>
              <w:rPr>
                <w:b/>
                <w:sz w:val="16"/>
              </w:rPr>
            </w:pPr>
            <w:r w:rsidRPr="008366A8">
              <w:rPr>
                <w:b/>
                <w:sz w:val="16"/>
              </w:rPr>
              <w:t>Dont :</w:t>
            </w: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c>
          <w:tcPr>
            <w:tcW w:w="1103" w:type="dxa"/>
            <w:tcBorders>
              <w:top w:val="single" w:sz="12" w:space="0" w:color="auto"/>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bCs/>
                <w:sz w:val="16"/>
              </w:rPr>
            </w:pP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1354EF" w:rsidRDefault="00956CC1" w:rsidP="002F7B0D">
            <w:pPr>
              <w:widowControl w:val="0"/>
              <w:autoSpaceDE w:val="0"/>
              <w:autoSpaceDN w:val="0"/>
              <w:adjustRightInd w:val="0"/>
              <w:jc w:val="center"/>
              <w:rPr>
                <w:b/>
                <w:sz w:val="16"/>
              </w:rPr>
            </w:pPr>
          </w:p>
        </w:tc>
      </w:tr>
      <w:tr w:rsidR="00956CC1" w:rsidRPr="00425BBA" w:rsidTr="00387149">
        <w:trPr>
          <w:trHeight w:val="450"/>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Pr="008366A8" w:rsidRDefault="00956CC1">
            <w:pPr>
              <w:widowControl w:val="0"/>
              <w:autoSpaceDE w:val="0"/>
              <w:autoSpaceDN w:val="0"/>
              <w:adjustRightInd w:val="0"/>
              <w:rPr>
                <w:b/>
                <w:sz w:val="16"/>
              </w:rPr>
            </w:pPr>
            <w:r w:rsidRPr="008366A8">
              <w:rPr>
                <w:b/>
                <w:sz w:val="16"/>
              </w:rPr>
              <w:t>PERSONNEL DE SECURITE</w:t>
            </w: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3A6736" w:rsidRDefault="00956CC1" w:rsidP="00FF6ABF">
            <w:pPr>
              <w:widowControl w:val="0"/>
              <w:autoSpaceDE w:val="0"/>
              <w:autoSpaceDN w:val="0"/>
              <w:adjustRightInd w:val="0"/>
              <w:jc w:val="center"/>
              <w:rPr>
                <w:b/>
                <w:sz w:val="16"/>
              </w:rPr>
            </w:pPr>
            <w:r>
              <w:rPr>
                <w:b/>
                <w:sz w:val="16"/>
              </w:rPr>
              <w:t>-</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C441E7" w:rsidP="00387149">
            <w:pPr>
              <w:widowControl w:val="0"/>
              <w:autoSpaceDE w:val="0"/>
              <w:autoSpaceDN w:val="0"/>
              <w:adjustRightInd w:val="0"/>
              <w:jc w:val="center"/>
              <w:rPr>
                <w:b/>
                <w:sz w:val="16"/>
              </w:rPr>
            </w:pPr>
            <w:r>
              <w:rPr>
                <w:b/>
                <w:sz w:val="16"/>
              </w:rPr>
              <w:t>9</w:t>
            </w:r>
            <w:r w:rsidR="003F76C7">
              <w:rPr>
                <w:b/>
                <w:sz w:val="16"/>
              </w:rPr>
              <w:t>3</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3B36C7" w:rsidP="00387149">
            <w:pPr>
              <w:widowControl w:val="0"/>
              <w:autoSpaceDE w:val="0"/>
              <w:autoSpaceDN w:val="0"/>
              <w:adjustRightInd w:val="0"/>
              <w:rPr>
                <w:b/>
                <w:sz w:val="16"/>
              </w:rPr>
            </w:pPr>
            <w:r>
              <w:rPr>
                <w:b/>
                <w:sz w:val="16"/>
                <w:szCs w:val="16"/>
              </w:rPr>
              <w:t>89</w:t>
            </w: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7043FD" w:rsidRDefault="00A006F5" w:rsidP="004C56EC">
            <w:pPr>
              <w:widowControl w:val="0"/>
              <w:autoSpaceDE w:val="0"/>
              <w:autoSpaceDN w:val="0"/>
              <w:adjustRightInd w:val="0"/>
              <w:rPr>
                <w:b/>
                <w:sz w:val="16"/>
                <w:szCs w:val="16"/>
              </w:rPr>
            </w:pPr>
            <w:r>
              <w:rPr>
                <w:b/>
                <w:sz w:val="16"/>
                <w:szCs w:val="16"/>
              </w:rPr>
              <w:t xml:space="preserve">         -4,3</w:t>
            </w:r>
          </w:p>
        </w:tc>
        <w:tc>
          <w:tcPr>
            <w:tcW w:w="1103" w:type="dxa"/>
            <w:tcBorders>
              <w:top w:val="single" w:sz="12" w:space="0" w:color="auto"/>
              <w:left w:val="single" w:sz="12" w:space="0" w:color="auto"/>
              <w:bottom w:val="single" w:sz="12" w:space="0" w:color="auto"/>
              <w:right w:val="single" w:sz="12" w:space="0" w:color="auto"/>
            </w:tcBorders>
            <w:vAlign w:val="center"/>
          </w:tcPr>
          <w:p w:rsidR="008C3DDA" w:rsidRPr="001354EF" w:rsidRDefault="00A006F5" w:rsidP="005052C3">
            <w:pPr>
              <w:widowControl w:val="0"/>
              <w:autoSpaceDE w:val="0"/>
              <w:autoSpaceDN w:val="0"/>
              <w:adjustRightInd w:val="0"/>
              <w:rPr>
                <w:b/>
                <w:bCs/>
                <w:sz w:val="16"/>
              </w:rPr>
            </w:pPr>
            <w:r>
              <w:rPr>
                <w:b/>
                <w:bCs/>
                <w:sz w:val="16"/>
              </w:rPr>
              <w:t xml:space="preserve">           93</w:t>
            </w: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DF0437" w:rsidRDefault="00A006F5" w:rsidP="00387149">
            <w:pPr>
              <w:widowControl w:val="0"/>
              <w:autoSpaceDE w:val="0"/>
              <w:autoSpaceDN w:val="0"/>
              <w:adjustRightInd w:val="0"/>
              <w:rPr>
                <w:b/>
                <w:sz w:val="16"/>
                <w:szCs w:val="16"/>
              </w:rPr>
            </w:pPr>
            <w:r>
              <w:rPr>
                <w:b/>
                <w:sz w:val="16"/>
                <w:szCs w:val="16"/>
              </w:rPr>
              <w:t xml:space="preserve">        -4,3</w:t>
            </w:r>
          </w:p>
        </w:tc>
      </w:tr>
      <w:tr w:rsidR="00956CC1" w:rsidTr="00387149">
        <w:trPr>
          <w:trHeight w:val="435"/>
          <w:jc w:val="center"/>
        </w:trPr>
        <w:tc>
          <w:tcPr>
            <w:tcW w:w="3000" w:type="dxa"/>
            <w:tcBorders>
              <w:top w:val="single" w:sz="12" w:space="0" w:color="auto"/>
              <w:left w:val="single" w:sz="12" w:space="0" w:color="auto"/>
              <w:bottom w:val="single" w:sz="12" w:space="0" w:color="auto"/>
              <w:right w:val="single" w:sz="12" w:space="0" w:color="auto"/>
            </w:tcBorders>
            <w:vAlign w:val="center"/>
          </w:tcPr>
          <w:p w:rsidR="00956CC1" w:rsidRPr="008366A8" w:rsidRDefault="00956CC1">
            <w:pPr>
              <w:widowControl w:val="0"/>
              <w:autoSpaceDE w:val="0"/>
              <w:autoSpaceDN w:val="0"/>
              <w:adjustRightInd w:val="0"/>
              <w:rPr>
                <w:b/>
                <w:sz w:val="16"/>
              </w:rPr>
            </w:pPr>
            <w:r w:rsidRPr="008366A8">
              <w:rPr>
                <w:b/>
                <w:sz w:val="16"/>
              </w:rPr>
              <w:t>PERSONNEL CONTRACTUEL</w:t>
            </w:r>
          </w:p>
        </w:tc>
        <w:tc>
          <w:tcPr>
            <w:tcW w:w="918" w:type="dxa"/>
            <w:tcBorders>
              <w:top w:val="single" w:sz="12" w:space="0" w:color="auto"/>
              <w:left w:val="single" w:sz="12" w:space="0" w:color="auto"/>
              <w:bottom w:val="single" w:sz="12" w:space="0" w:color="auto"/>
              <w:right w:val="single" w:sz="12" w:space="0" w:color="auto"/>
            </w:tcBorders>
            <w:vAlign w:val="center"/>
          </w:tcPr>
          <w:p w:rsidR="00956CC1" w:rsidRPr="003A6736" w:rsidRDefault="00956CC1" w:rsidP="00C71AB7">
            <w:pPr>
              <w:widowControl w:val="0"/>
              <w:autoSpaceDE w:val="0"/>
              <w:autoSpaceDN w:val="0"/>
              <w:adjustRightInd w:val="0"/>
              <w:rPr>
                <w:b/>
                <w:sz w:val="16"/>
              </w:rPr>
            </w:pPr>
            <w:r>
              <w:rPr>
                <w:b/>
                <w:sz w:val="16"/>
              </w:rPr>
              <w:t xml:space="preserve">         -</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3F76C7" w:rsidP="002F7B0D">
            <w:pPr>
              <w:widowControl w:val="0"/>
              <w:autoSpaceDE w:val="0"/>
              <w:autoSpaceDN w:val="0"/>
              <w:adjustRightInd w:val="0"/>
              <w:jc w:val="center"/>
              <w:rPr>
                <w:b/>
                <w:sz w:val="16"/>
              </w:rPr>
            </w:pPr>
            <w:r>
              <w:rPr>
                <w:b/>
                <w:sz w:val="16"/>
              </w:rPr>
              <w:t>101</w:t>
            </w:r>
          </w:p>
        </w:tc>
        <w:tc>
          <w:tcPr>
            <w:tcW w:w="1432" w:type="dxa"/>
            <w:tcBorders>
              <w:top w:val="single" w:sz="12" w:space="0" w:color="auto"/>
              <w:left w:val="single" w:sz="12" w:space="0" w:color="auto"/>
              <w:bottom w:val="single" w:sz="12" w:space="0" w:color="auto"/>
              <w:right w:val="single" w:sz="12" w:space="0" w:color="auto"/>
            </w:tcBorders>
            <w:vAlign w:val="center"/>
          </w:tcPr>
          <w:p w:rsidR="00956CC1" w:rsidRPr="001354EF" w:rsidRDefault="00A006F5" w:rsidP="00C53046">
            <w:pPr>
              <w:widowControl w:val="0"/>
              <w:autoSpaceDE w:val="0"/>
              <w:autoSpaceDN w:val="0"/>
              <w:adjustRightInd w:val="0"/>
              <w:rPr>
                <w:b/>
                <w:sz w:val="16"/>
              </w:rPr>
            </w:pPr>
            <w:r>
              <w:rPr>
                <w:b/>
                <w:sz w:val="16"/>
              </w:rPr>
              <w:t xml:space="preserve">           110</w:t>
            </w:r>
          </w:p>
        </w:tc>
        <w:tc>
          <w:tcPr>
            <w:tcW w:w="1255" w:type="dxa"/>
            <w:tcBorders>
              <w:top w:val="single" w:sz="12" w:space="0" w:color="auto"/>
              <w:left w:val="single" w:sz="12" w:space="0" w:color="auto"/>
              <w:bottom w:val="single" w:sz="12" w:space="0" w:color="auto"/>
              <w:right w:val="single" w:sz="12" w:space="0" w:color="auto"/>
            </w:tcBorders>
            <w:vAlign w:val="center"/>
          </w:tcPr>
          <w:p w:rsidR="00956CC1" w:rsidRPr="001354EF" w:rsidRDefault="00A006F5" w:rsidP="00A306D9">
            <w:pPr>
              <w:widowControl w:val="0"/>
              <w:autoSpaceDE w:val="0"/>
              <w:autoSpaceDN w:val="0"/>
              <w:adjustRightInd w:val="0"/>
              <w:rPr>
                <w:b/>
                <w:sz w:val="16"/>
              </w:rPr>
            </w:pPr>
            <w:r>
              <w:rPr>
                <w:b/>
                <w:sz w:val="16"/>
              </w:rPr>
              <w:t xml:space="preserve">         +8,9</w:t>
            </w:r>
          </w:p>
        </w:tc>
        <w:tc>
          <w:tcPr>
            <w:tcW w:w="1103" w:type="dxa"/>
            <w:tcBorders>
              <w:top w:val="single" w:sz="12" w:space="0" w:color="auto"/>
              <w:left w:val="single" w:sz="12" w:space="0" w:color="auto"/>
              <w:bottom w:val="single" w:sz="12" w:space="0" w:color="auto"/>
              <w:right w:val="single" w:sz="12" w:space="0" w:color="auto"/>
            </w:tcBorders>
            <w:vAlign w:val="center"/>
          </w:tcPr>
          <w:p w:rsidR="00956CC1" w:rsidRPr="001354EF" w:rsidRDefault="00A006F5" w:rsidP="00A306D9">
            <w:pPr>
              <w:widowControl w:val="0"/>
              <w:autoSpaceDE w:val="0"/>
              <w:autoSpaceDN w:val="0"/>
              <w:adjustRightInd w:val="0"/>
              <w:rPr>
                <w:b/>
                <w:bCs/>
                <w:sz w:val="16"/>
              </w:rPr>
            </w:pPr>
            <w:r>
              <w:rPr>
                <w:b/>
                <w:bCs/>
                <w:sz w:val="16"/>
              </w:rPr>
              <w:t xml:space="preserve">          110</w:t>
            </w:r>
          </w:p>
        </w:tc>
        <w:tc>
          <w:tcPr>
            <w:tcW w:w="1033" w:type="dxa"/>
            <w:tcBorders>
              <w:top w:val="single" w:sz="12" w:space="0" w:color="auto"/>
              <w:left w:val="single" w:sz="12" w:space="0" w:color="auto"/>
              <w:bottom w:val="single" w:sz="12" w:space="0" w:color="auto"/>
              <w:right w:val="single" w:sz="12" w:space="0" w:color="auto"/>
            </w:tcBorders>
            <w:vAlign w:val="center"/>
          </w:tcPr>
          <w:p w:rsidR="00956CC1" w:rsidRPr="001354EF" w:rsidRDefault="00A006F5" w:rsidP="00387149">
            <w:pPr>
              <w:widowControl w:val="0"/>
              <w:autoSpaceDE w:val="0"/>
              <w:autoSpaceDN w:val="0"/>
              <w:adjustRightInd w:val="0"/>
              <w:rPr>
                <w:b/>
                <w:sz w:val="16"/>
              </w:rPr>
            </w:pPr>
            <w:r>
              <w:rPr>
                <w:b/>
                <w:sz w:val="16"/>
              </w:rPr>
              <w:t xml:space="preserve">         -</w:t>
            </w:r>
          </w:p>
        </w:tc>
      </w:tr>
    </w:tbl>
    <w:p w:rsidR="0062729E" w:rsidRDefault="0062729E" w:rsidP="00E574BD">
      <w:pPr>
        <w:pStyle w:val="En-tte"/>
        <w:tabs>
          <w:tab w:val="clear" w:pos="4153"/>
          <w:tab w:val="clear" w:pos="8306"/>
        </w:tabs>
        <w:jc w:val="both"/>
        <w:rPr>
          <w:b/>
          <w:color w:val="000080"/>
          <w:sz w:val="32"/>
          <w:u w:val="single"/>
        </w:rPr>
      </w:pPr>
    </w:p>
    <w:p w:rsidR="0061437C" w:rsidRDefault="0061437C" w:rsidP="00A75822">
      <w:pPr>
        <w:pStyle w:val="En-tte"/>
        <w:tabs>
          <w:tab w:val="clear" w:pos="4153"/>
          <w:tab w:val="clear" w:pos="8306"/>
        </w:tabs>
        <w:jc w:val="both"/>
        <w:rPr>
          <w:b/>
          <w:color w:val="000080"/>
          <w:sz w:val="32"/>
          <w:u w:val="single"/>
        </w:rPr>
      </w:pPr>
    </w:p>
    <w:p w:rsidR="002346B0" w:rsidRDefault="002346B0" w:rsidP="00391651">
      <w:pPr>
        <w:pStyle w:val="En-tte"/>
        <w:tabs>
          <w:tab w:val="clear" w:pos="4153"/>
          <w:tab w:val="clear" w:pos="8306"/>
        </w:tabs>
        <w:jc w:val="both"/>
        <w:rPr>
          <w:b/>
          <w:color w:val="000080"/>
          <w:sz w:val="32"/>
          <w:u w:val="single"/>
        </w:rPr>
      </w:pPr>
    </w:p>
    <w:p w:rsidR="00C53046" w:rsidRDefault="00C53046" w:rsidP="00391651">
      <w:pPr>
        <w:pStyle w:val="En-tte"/>
        <w:tabs>
          <w:tab w:val="clear" w:pos="4153"/>
          <w:tab w:val="clear" w:pos="8306"/>
        </w:tabs>
        <w:jc w:val="both"/>
        <w:rPr>
          <w:b/>
          <w:color w:val="000080"/>
          <w:sz w:val="32"/>
          <w:u w:val="single"/>
        </w:rPr>
      </w:pPr>
    </w:p>
    <w:p w:rsidR="003F76C7" w:rsidRDefault="003F76C7" w:rsidP="00391651">
      <w:pPr>
        <w:pStyle w:val="En-tte"/>
        <w:tabs>
          <w:tab w:val="clear" w:pos="4153"/>
          <w:tab w:val="clear" w:pos="8306"/>
        </w:tabs>
        <w:jc w:val="both"/>
        <w:rPr>
          <w:b/>
          <w:color w:val="000080"/>
          <w:sz w:val="32"/>
          <w:u w:val="single"/>
        </w:rPr>
      </w:pPr>
    </w:p>
    <w:p w:rsidR="00C53046" w:rsidRDefault="00C53046" w:rsidP="00391651">
      <w:pPr>
        <w:pStyle w:val="En-tte"/>
        <w:tabs>
          <w:tab w:val="clear" w:pos="4153"/>
          <w:tab w:val="clear" w:pos="8306"/>
        </w:tabs>
        <w:jc w:val="both"/>
        <w:rPr>
          <w:b/>
          <w:color w:val="000080"/>
          <w:sz w:val="32"/>
          <w:u w:val="single"/>
        </w:rPr>
      </w:pPr>
    </w:p>
    <w:p w:rsidR="00C53046" w:rsidRDefault="00C53046" w:rsidP="00391651">
      <w:pPr>
        <w:pStyle w:val="En-tte"/>
        <w:tabs>
          <w:tab w:val="clear" w:pos="4153"/>
          <w:tab w:val="clear" w:pos="8306"/>
        </w:tabs>
        <w:jc w:val="both"/>
        <w:rPr>
          <w:b/>
          <w:color w:val="000080"/>
          <w:sz w:val="32"/>
          <w:u w:val="single"/>
        </w:rPr>
      </w:pPr>
    </w:p>
    <w:p w:rsidR="005E512E" w:rsidRDefault="000744D2" w:rsidP="005E512E">
      <w:pPr>
        <w:pStyle w:val="En-tte"/>
        <w:tabs>
          <w:tab w:val="clear" w:pos="4153"/>
          <w:tab w:val="clear" w:pos="8306"/>
        </w:tabs>
        <w:ind w:left="426"/>
        <w:jc w:val="both"/>
        <w:rPr>
          <w:b/>
          <w:color w:val="000080"/>
          <w:sz w:val="32"/>
          <w:u w:val="single"/>
        </w:rPr>
      </w:pPr>
      <w:r>
        <w:rPr>
          <w:b/>
          <w:color w:val="000080"/>
          <w:sz w:val="32"/>
          <w:u w:val="single"/>
        </w:rPr>
        <w:lastRenderedPageBreak/>
        <w:t>4</w:t>
      </w:r>
      <w:r w:rsidR="003F76C7">
        <w:rPr>
          <w:b/>
          <w:color w:val="000080"/>
          <w:sz w:val="32"/>
          <w:u w:val="single"/>
        </w:rPr>
        <w:t>-3 / Résultats </w:t>
      </w:r>
    </w:p>
    <w:p w:rsidR="005E512E" w:rsidRDefault="005E512E" w:rsidP="005E512E">
      <w:pPr>
        <w:pStyle w:val="Titre3"/>
        <w:ind w:left="8496"/>
        <w:jc w:val="center"/>
      </w:pPr>
      <w:r>
        <w:t>EN DA</w:t>
      </w:r>
    </w:p>
    <w:tbl>
      <w:tblPr>
        <w:tblpPr w:leftFromText="141" w:rightFromText="141" w:vertAnchor="text" w:horzAnchor="margin" w:tblpX="480" w:tblpY="175"/>
        <w:tblW w:w="9410" w:type="dxa"/>
        <w:tblLayout w:type="fixed"/>
        <w:tblCellMar>
          <w:left w:w="54" w:type="dxa"/>
          <w:right w:w="54" w:type="dxa"/>
        </w:tblCellMar>
        <w:tblLook w:val="0000"/>
      </w:tblPr>
      <w:tblGrid>
        <w:gridCol w:w="1897"/>
        <w:gridCol w:w="1134"/>
        <w:gridCol w:w="1701"/>
        <w:gridCol w:w="1559"/>
        <w:gridCol w:w="1560"/>
        <w:gridCol w:w="1559"/>
      </w:tblGrid>
      <w:tr w:rsidR="00261131" w:rsidTr="00261131">
        <w:trPr>
          <w:cantSplit/>
          <w:trHeight w:val="507"/>
        </w:trPr>
        <w:tc>
          <w:tcPr>
            <w:tcW w:w="1897" w:type="dxa"/>
            <w:vMerge w:val="restart"/>
            <w:tcBorders>
              <w:top w:val="single" w:sz="12" w:space="0" w:color="auto"/>
              <w:left w:val="single" w:sz="12" w:space="0" w:color="auto"/>
              <w:right w:val="single" w:sz="12" w:space="0" w:color="auto"/>
            </w:tcBorders>
            <w:shd w:val="clear" w:color="auto" w:fill="00FFFF"/>
            <w:vAlign w:val="center"/>
          </w:tcPr>
          <w:p w:rsidR="00261131" w:rsidRDefault="00261131" w:rsidP="00261131">
            <w:pPr>
              <w:widowControl w:val="0"/>
              <w:autoSpaceDE w:val="0"/>
              <w:autoSpaceDN w:val="0"/>
              <w:adjustRightInd w:val="0"/>
              <w:rPr>
                <w:b/>
                <w:sz w:val="18"/>
              </w:rPr>
            </w:pPr>
            <w:r>
              <w:rPr>
                <w:b/>
                <w:sz w:val="18"/>
              </w:rPr>
              <w:t>RUBRIQUES</w:t>
            </w:r>
          </w:p>
        </w:tc>
        <w:tc>
          <w:tcPr>
            <w:tcW w:w="4394" w:type="dxa"/>
            <w:gridSpan w:val="3"/>
            <w:tcBorders>
              <w:top w:val="single" w:sz="12" w:space="0" w:color="auto"/>
              <w:left w:val="single" w:sz="12" w:space="0" w:color="auto"/>
              <w:right w:val="nil"/>
            </w:tcBorders>
            <w:shd w:val="clear" w:color="auto" w:fill="00FFFF"/>
            <w:vAlign w:val="center"/>
          </w:tcPr>
          <w:p w:rsidR="00261131" w:rsidRDefault="00261131" w:rsidP="00261131">
            <w:pPr>
              <w:widowControl w:val="0"/>
              <w:autoSpaceDE w:val="0"/>
              <w:autoSpaceDN w:val="0"/>
              <w:adjustRightInd w:val="0"/>
              <w:jc w:val="center"/>
              <w:rPr>
                <w:b/>
                <w:sz w:val="18"/>
              </w:rPr>
            </w:pPr>
            <w:r>
              <w:rPr>
                <w:b/>
                <w:sz w:val="18"/>
              </w:rPr>
              <w:t>REALISATIONS</w:t>
            </w:r>
          </w:p>
        </w:tc>
        <w:tc>
          <w:tcPr>
            <w:tcW w:w="3119" w:type="dxa"/>
            <w:gridSpan w:val="2"/>
            <w:tcBorders>
              <w:top w:val="single" w:sz="12" w:space="0" w:color="auto"/>
              <w:left w:val="single" w:sz="12" w:space="0" w:color="auto"/>
              <w:right w:val="single" w:sz="12" w:space="0" w:color="auto"/>
            </w:tcBorders>
            <w:shd w:val="clear" w:color="auto" w:fill="00FFFF"/>
            <w:vAlign w:val="center"/>
          </w:tcPr>
          <w:p w:rsidR="00261131" w:rsidRDefault="00261131" w:rsidP="00261131">
            <w:pPr>
              <w:widowControl w:val="0"/>
              <w:autoSpaceDE w:val="0"/>
              <w:autoSpaceDN w:val="0"/>
              <w:adjustRightInd w:val="0"/>
              <w:jc w:val="center"/>
              <w:rPr>
                <w:b/>
                <w:sz w:val="18"/>
              </w:rPr>
            </w:pPr>
            <w:r>
              <w:rPr>
                <w:b/>
                <w:sz w:val="18"/>
              </w:rPr>
              <w:t xml:space="preserve">PREVISIONS   </w:t>
            </w:r>
          </w:p>
        </w:tc>
      </w:tr>
      <w:tr w:rsidR="00261131" w:rsidTr="00261131">
        <w:trPr>
          <w:cantSplit/>
          <w:trHeight w:val="480"/>
        </w:trPr>
        <w:tc>
          <w:tcPr>
            <w:tcW w:w="1897" w:type="dxa"/>
            <w:vMerge/>
            <w:tcBorders>
              <w:left w:val="single" w:sz="12" w:space="0" w:color="auto"/>
              <w:bottom w:val="single" w:sz="12" w:space="0" w:color="auto"/>
              <w:right w:val="single" w:sz="12" w:space="0" w:color="auto"/>
            </w:tcBorders>
            <w:vAlign w:val="center"/>
          </w:tcPr>
          <w:p w:rsidR="00261131" w:rsidRDefault="00261131" w:rsidP="00261131">
            <w:pPr>
              <w:widowControl w:val="0"/>
              <w:autoSpaceDE w:val="0"/>
              <w:autoSpaceDN w:val="0"/>
              <w:adjustRightInd w:val="0"/>
              <w:jc w:val="center"/>
              <w:rPr>
                <w:b/>
                <w:sz w:val="18"/>
              </w:rPr>
            </w:pPr>
          </w:p>
        </w:tc>
        <w:tc>
          <w:tcPr>
            <w:tcW w:w="1134"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Default="00261131" w:rsidP="00261131">
            <w:pPr>
              <w:widowControl w:val="0"/>
              <w:autoSpaceDE w:val="0"/>
              <w:autoSpaceDN w:val="0"/>
              <w:adjustRightInd w:val="0"/>
              <w:jc w:val="center"/>
              <w:rPr>
                <w:b/>
                <w:sz w:val="18"/>
              </w:rPr>
            </w:pPr>
            <w:r>
              <w:rPr>
                <w:b/>
                <w:sz w:val="18"/>
              </w:rPr>
              <w:t>1er Semestre 20</w:t>
            </w:r>
            <w:r w:rsidR="00C22233">
              <w:rPr>
                <w:b/>
                <w:sz w:val="18"/>
              </w:rPr>
              <w:t>2</w:t>
            </w:r>
            <w:r w:rsidR="003F76C7">
              <w:rPr>
                <w:b/>
                <w:sz w:val="18"/>
              </w:rPr>
              <w:t>1</w:t>
            </w:r>
          </w:p>
        </w:tc>
        <w:tc>
          <w:tcPr>
            <w:tcW w:w="1701"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Default="00261131" w:rsidP="00261131">
            <w:pPr>
              <w:widowControl w:val="0"/>
              <w:autoSpaceDE w:val="0"/>
              <w:autoSpaceDN w:val="0"/>
              <w:adjustRightInd w:val="0"/>
              <w:jc w:val="center"/>
              <w:rPr>
                <w:b/>
                <w:sz w:val="18"/>
              </w:rPr>
            </w:pPr>
            <w:r>
              <w:rPr>
                <w:b/>
                <w:sz w:val="18"/>
              </w:rPr>
              <w:t>1er Semestre 20</w:t>
            </w:r>
            <w:r w:rsidR="00B8238C">
              <w:rPr>
                <w:b/>
                <w:sz w:val="18"/>
              </w:rPr>
              <w:t>2</w:t>
            </w:r>
            <w:r w:rsidR="003F76C7">
              <w:rPr>
                <w:b/>
                <w:sz w:val="18"/>
              </w:rPr>
              <w:t>2</w:t>
            </w:r>
          </w:p>
        </w:tc>
        <w:tc>
          <w:tcPr>
            <w:tcW w:w="1559"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Default="00261131" w:rsidP="00261131">
            <w:pPr>
              <w:widowControl w:val="0"/>
              <w:autoSpaceDE w:val="0"/>
              <w:autoSpaceDN w:val="0"/>
              <w:adjustRightInd w:val="0"/>
              <w:jc w:val="center"/>
              <w:rPr>
                <w:b/>
                <w:sz w:val="18"/>
              </w:rPr>
            </w:pPr>
            <w:r>
              <w:rPr>
                <w:b/>
                <w:sz w:val="18"/>
              </w:rPr>
              <w:t>Evolution en %</w:t>
            </w:r>
          </w:p>
        </w:tc>
        <w:tc>
          <w:tcPr>
            <w:tcW w:w="1560"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F20897" w:rsidRDefault="00261131" w:rsidP="00261131">
            <w:pPr>
              <w:widowControl w:val="0"/>
              <w:autoSpaceDE w:val="0"/>
              <w:autoSpaceDN w:val="0"/>
              <w:adjustRightInd w:val="0"/>
              <w:jc w:val="center"/>
              <w:rPr>
                <w:b/>
                <w:sz w:val="18"/>
              </w:rPr>
            </w:pPr>
            <w:r>
              <w:rPr>
                <w:b/>
                <w:sz w:val="18"/>
              </w:rPr>
              <w:t>1er Semestre 20</w:t>
            </w:r>
            <w:r w:rsidR="00C22233">
              <w:rPr>
                <w:b/>
                <w:sz w:val="18"/>
              </w:rPr>
              <w:t>2</w:t>
            </w:r>
            <w:r w:rsidR="003F76C7">
              <w:rPr>
                <w:b/>
                <w:sz w:val="18"/>
              </w:rPr>
              <w:t>2</w:t>
            </w:r>
          </w:p>
        </w:tc>
        <w:tc>
          <w:tcPr>
            <w:tcW w:w="1559"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F20897" w:rsidRDefault="00261131" w:rsidP="00261131">
            <w:pPr>
              <w:widowControl w:val="0"/>
              <w:autoSpaceDE w:val="0"/>
              <w:autoSpaceDN w:val="0"/>
              <w:adjustRightInd w:val="0"/>
              <w:ind w:left="411"/>
              <w:jc w:val="center"/>
              <w:rPr>
                <w:b/>
                <w:sz w:val="18"/>
              </w:rPr>
            </w:pPr>
            <w:r>
              <w:rPr>
                <w:b/>
                <w:sz w:val="18"/>
              </w:rPr>
              <w:t>Ecarts en %</w:t>
            </w:r>
          </w:p>
        </w:tc>
      </w:tr>
      <w:tr w:rsidR="00261131" w:rsidTr="00261131">
        <w:trPr>
          <w:trHeight w:val="570"/>
        </w:trPr>
        <w:tc>
          <w:tcPr>
            <w:tcW w:w="1897" w:type="dxa"/>
            <w:tcBorders>
              <w:top w:val="single" w:sz="12" w:space="0" w:color="auto"/>
              <w:left w:val="single" w:sz="12" w:space="0" w:color="auto"/>
              <w:bottom w:val="nil"/>
              <w:right w:val="single" w:sz="12" w:space="0" w:color="auto"/>
            </w:tcBorders>
            <w:vAlign w:val="center"/>
          </w:tcPr>
          <w:p w:rsidR="00261131" w:rsidRDefault="00261131" w:rsidP="00261131">
            <w:pPr>
              <w:widowControl w:val="0"/>
              <w:autoSpaceDE w:val="0"/>
              <w:autoSpaceDN w:val="0"/>
              <w:adjustRightInd w:val="0"/>
              <w:rPr>
                <w:sz w:val="16"/>
              </w:rPr>
            </w:pPr>
            <w:r>
              <w:rPr>
                <w:sz w:val="16"/>
              </w:rPr>
              <w:t>Valeur ajoutée</w:t>
            </w:r>
          </w:p>
        </w:tc>
        <w:tc>
          <w:tcPr>
            <w:tcW w:w="1134" w:type="dxa"/>
            <w:tcBorders>
              <w:top w:val="single" w:sz="12" w:space="0" w:color="auto"/>
              <w:left w:val="single" w:sz="12" w:space="0" w:color="auto"/>
              <w:bottom w:val="nil"/>
              <w:right w:val="single" w:sz="12" w:space="0" w:color="auto"/>
            </w:tcBorders>
            <w:vAlign w:val="center"/>
          </w:tcPr>
          <w:p w:rsidR="00261131" w:rsidRPr="003739B0" w:rsidRDefault="00387149" w:rsidP="003F76C7">
            <w:pPr>
              <w:widowControl w:val="0"/>
              <w:autoSpaceDE w:val="0"/>
              <w:autoSpaceDN w:val="0"/>
              <w:adjustRightInd w:val="0"/>
              <w:jc w:val="right"/>
              <w:rPr>
                <w:b/>
                <w:sz w:val="16"/>
                <w:szCs w:val="16"/>
              </w:rPr>
            </w:pPr>
            <w:r>
              <w:rPr>
                <w:b/>
                <w:sz w:val="16"/>
                <w:szCs w:val="16"/>
              </w:rPr>
              <w:t>+</w:t>
            </w:r>
            <w:r w:rsidR="003F76C7">
              <w:rPr>
                <w:b/>
                <w:sz w:val="16"/>
                <w:szCs w:val="16"/>
              </w:rPr>
              <w:t>242</w:t>
            </w:r>
            <w:r>
              <w:rPr>
                <w:b/>
                <w:sz w:val="16"/>
                <w:szCs w:val="16"/>
              </w:rPr>
              <w:t>.</w:t>
            </w:r>
            <w:r w:rsidR="003F76C7">
              <w:rPr>
                <w:b/>
                <w:sz w:val="16"/>
                <w:szCs w:val="16"/>
              </w:rPr>
              <w:t>843</w:t>
            </w:r>
            <w:r>
              <w:rPr>
                <w:b/>
                <w:sz w:val="16"/>
                <w:szCs w:val="16"/>
              </w:rPr>
              <w:t>.</w:t>
            </w:r>
            <w:r w:rsidR="003F76C7">
              <w:rPr>
                <w:b/>
                <w:sz w:val="16"/>
                <w:szCs w:val="16"/>
              </w:rPr>
              <w:t>115</w:t>
            </w:r>
          </w:p>
        </w:tc>
        <w:tc>
          <w:tcPr>
            <w:tcW w:w="1701" w:type="dxa"/>
            <w:tcBorders>
              <w:top w:val="single" w:sz="12" w:space="0" w:color="auto"/>
              <w:left w:val="single" w:sz="12" w:space="0" w:color="auto"/>
              <w:bottom w:val="nil"/>
              <w:right w:val="single" w:sz="12" w:space="0" w:color="auto"/>
            </w:tcBorders>
            <w:vAlign w:val="center"/>
          </w:tcPr>
          <w:p w:rsidR="00261131" w:rsidRPr="003739B0" w:rsidRDefault="003B36C7" w:rsidP="00C86D5A">
            <w:pPr>
              <w:widowControl w:val="0"/>
              <w:autoSpaceDE w:val="0"/>
              <w:autoSpaceDN w:val="0"/>
              <w:adjustRightInd w:val="0"/>
              <w:rPr>
                <w:b/>
                <w:sz w:val="16"/>
                <w:szCs w:val="16"/>
              </w:rPr>
            </w:pPr>
            <w:r>
              <w:rPr>
                <w:b/>
                <w:sz w:val="16"/>
                <w:szCs w:val="16"/>
              </w:rPr>
              <w:t xml:space="preserve">         +</w:t>
            </w:r>
            <w:r w:rsidR="00C86D5A">
              <w:rPr>
                <w:b/>
                <w:sz w:val="16"/>
                <w:szCs w:val="16"/>
              </w:rPr>
              <w:t>468</w:t>
            </w:r>
            <w:r>
              <w:rPr>
                <w:b/>
                <w:sz w:val="16"/>
                <w:szCs w:val="16"/>
              </w:rPr>
              <w:t>.</w:t>
            </w:r>
            <w:r w:rsidR="00C86D5A">
              <w:rPr>
                <w:b/>
                <w:sz w:val="16"/>
                <w:szCs w:val="16"/>
              </w:rPr>
              <w:t>526</w:t>
            </w:r>
            <w:r>
              <w:rPr>
                <w:b/>
                <w:sz w:val="16"/>
                <w:szCs w:val="16"/>
              </w:rPr>
              <w:t>.</w:t>
            </w:r>
            <w:r w:rsidR="00C86D5A">
              <w:rPr>
                <w:b/>
                <w:sz w:val="16"/>
                <w:szCs w:val="16"/>
              </w:rPr>
              <w:t>114</w:t>
            </w:r>
          </w:p>
        </w:tc>
        <w:tc>
          <w:tcPr>
            <w:tcW w:w="1559" w:type="dxa"/>
            <w:tcBorders>
              <w:top w:val="single" w:sz="12" w:space="0" w:color="auto"/>
              <w:left w:val="single" w:sz="12" w:space="0" w:color="auto"/>
              <w:bottom w:val="nil"/>
              <w:right w:val="single" w:sz="12" w:space="0" w:color="auto"/>
            </w:tcBorders>
            <w:vAlign w:val="center"/>
          </w:tcPr>
          <w:p w:rsidR="00261131" w:rsidRPr="003739B0" w:rsidRDefault="00DB6193" w:rsidP="00261131">
            <w:pPr>
              <w:widowControl w:val="0"/>
              <w:autoSpaceDE w:val="0"/>
              <w:autoSpaceDN w:val="0"/>
              <w:adjustRightInd w:val="0"/>
              <w:rPr>
                <w:b/>
                <w:sz w:val="16"/>
                <w:szCs w:val="16"/>
              </w:rPr>
            </w:pPr>
            <w:r>
              <w:rPr>
                <w:b/>
                <w:sz w:val="16"/>
                <w:szCs w:val="16"/>
              </w:rPr>
              <w:t xml:space="preserve">             +92,9</w:t>
            </w:r>
          </w:p>
        </w:tc>
        <w:tc>
          <w:tcPr>
            <w:tcW w:w="1560" w:type="dxa"/>
            <w:tcBorders>
              <w:top w:val="single" w:sz="12" w:space="0" w:color="auto"/>
              <w:left w:val="single" w:sz="12" w:space="0" w:color="auto"/>
              <w:bottom w:val="nil"/>
              <w:right w:val="single" w:sz="12" w:space="0" w:color="auto"/>
            </w:tcBorders>
            <w:vAlign w:val="center"/>
          </w:tcPr>
          <w:p w:rsidR="00261131" w:rsidRPr="003739B0" w:rsidRDefault="003F76C7" w:rsidP="00261131">
            <w:pPr>
              <w:widowControl w:val="0"/>
              <w:autoSpaceDE w:val="0"/>
              <w:autoSpaceDN w:val="0"/>
              <w:adjustRightInd w:val="0"/>
              <w:rPr>
                <w:b/>
                <w:sz w:val="16"/>
                <w:szCs w:val="16"/>
              </w:rPr>
            </w:pPr>
            <w:r>
              <w:rPr>
                <w:b/>
                <w:sz w:val="16"/>
                <w:szCs w:val="16"/>
              </w:rPr>
              <w:t xml:space="preserve">       +320.229.600</w:t>
            </w:r>
          </w:p>
        </w:tc>
        <w:tc>
          <w:tcPr>
            <w:tcW w:w="1559" w:type="dxa"/>
            <w:tcBorders>
              <w:top w:val="single" w:sz="12" w:space="0" w:color="auto"/>
              <w:left w:val="single" w:sz="12" w:space="0" w:color="auto"/>
              <w:bottom w:val="nil"/>
              <w:right w:val="single" w:sz="12" w:space="0" w:color="auto"/>
            </w:tcBorders>
            <w:vAlign w:val="center"/>
          </w:tcPr>
          <w:p w:rsidR="00261131" w:rsidRPr="003739B0" w:rsidRDefault="00DB6193" w:rsidP="00B8238C">
            <w:pPr>
              <w:widowControl w:val="0"/>
              <w:autoSpaceDE w:val="0"/>
              <w:autoSpaceDN w:val="0"/>
              <w:adjustRightInd w:val="0"/>
              <w:rPr>
                <w:b/>
                <w:sz w:val="16"/>
                <w:szCs w:val="16"/>
              </w:rPr>
            </w:pPr>
            <w:r>
              <w:rPr>
                <w:b/>
                <w:sz w:val="16"/>
                <w:szCs w:val="16"/>
              </w:rPr>
              <w:t>+46,3</w:t>
            </w:r>
          </w:p>
        </w:tc>
      </w:tr>
      <w:tr w:rsidR="00261131" w:rsidTr="00261131">
        <w:trPr>
          <w:trHeight w:val="630"/>
        </w:trPr>
        <w:tc>
          <w:tcPr>
            <w:tcW w:w="1897" w:type="dxa"/>
            <w:tcBorders>
              <w:top w:val="single" w:sz="12" w:space="0" w:color="auto"/>
              <w:left w:val="single" w:sz="12" w:space="0" w:color="auto"/>
              <w:bottom w:val="nil"/>
              <w:right w:val="single" w:sz="12" w:space="0" w:color="auto"/>
            </w:tcBorders>
            <w:vAlign w:val="center"/>
          </w:tcPr>
          <w:p w:rsidR="00261131" w:rsidRDefault="00261131" w:rsidP="00261131">
            <w:pPr>
              <w:widowControl w:val="0"/>
              <w:autoSpaceDE w:val="0"/>
              <w:autoSpaceDN w:val="0"/>
              <w:adjustRightInd w:val="0"/>
              <w:rPr>
                <w:sz w:val="16"/>
              </w:rPr>
            </w:pPr>
            <w:r>
              <w:rPr>
                <w:sz w:val="16"/>
              </w:rPr>
              <w:t>Excédent brut</w:t>
            </w:r>
          </w:p>
        </w:tc>
        <w:tc>
          <w:tcPr>
            <w:tcW w:w="1134" w:type="dxa"/>
            <w:tcBorders>
              <w:top w:val="single" w:sz="12" w:space="0" w:color="auto"/>
              <w:left w:val="single" w:sz="12" w:space="0" w:color="auto"/>
              <w:bottom w:val="nil"/>
              <w:right w:val="single" w:sz="12" w:space="0" w:color="auto"/>
            </w:tcBorders>
            <w:vAlign w:val="center"/>
          </w:tcPr>
          <w:p w:rsidR="00261131" w:rsidRPr="003739B0" w:rsidRDefault="00C22233" w:rsidP="003F76C7">
            <w:pPr>
              <w:widowControl w:val="0"/>
              <w:autoSpaceDE w:val="0"/>
              <w:autoSpaceDN w:val="0"/>
              <w:adjustRightInd w:val="0"/>
              <w:jc w:val="right"/>
              <w:rPr>
                <w:b/>
                <w:sz w:val="16"/>
                <w:szCs w:val="16"/>
              </w:rPr>
            </w:pPr>
            <w:r>
              <w:rPr>
                <w:b/>
                <w:sz w:val="16"/>
                <w:szCs w:val="16"/>
              </w:rPr>
              <w:t>-</w:t>
            </w:r>
            <w:r w:rsidR="003F76C7">
              <w:rPr>
                <w:b/>
                <w:sz w:val="16"/>
                <w:szCs w:val="16"/>
              </w:rPr>
              <w:t>27</w:t>
            </w:r>
            <w:r w:rsidR="00387149">
              <w:rPr>
                <w:b/>
                <w:sz w:val="16"/>
                <w:szCs w:val="16"/>
              </w:rPr>
              <w:t>.</w:t>
            </w:r>
            <w:r w:rsidR="003F76C7">
              <w:rPr>
                <w:b/>
                <w:sz w:val="16"/>
                <w:szCs w:val="16"/>
              </w:rPr>
              <w:t>625</w:t>
            </w:r>
            <w:r w:rsidR="00387149">
              <w:rPr>
                <w:b/>
                <w:sz w:val="16"/>
                <w:szCs w:val="16"/>
              </w:rPr>
              <w:t>.</w:t>
            </w:r>
            <w:r w:rsidR="003F76C7">
              <w:rPr>
                <w:b/>
                <w:sz w:val="16"/>
                <w:szCs w:val="16"/>
              </w:rPr>
              <w:t>029</w:t>
            </w:r>
          </w:p>
        </w:tc>
        <w:tc>
          <w:tcPr>
            <w:tcW w:w="1701" w:type="dxa"/>
            <w:tcBorders>
              <w:top w:val="single" w:sz="12" w:space="0" w:color="auto"/>
              <w:left w:val="single" w:sz="12" w:space="0" w:color="auto"/>
              <w:bottom w:val="nil"/>
              <w:right w:val="single" w:sz="12" w:space="0" w:color="auto"/>
            </w:tcBorders>
            <w:vAlign w:val="center"/>
          </w:tcPr>
          <w:p w:rsidR="00261131" w:rsidRPr="003739B0" w:rsidRDefault="003B36C7" w:rsidP="00C86D5A">
            <w:pPr>
              <w:widowControl w:val="0"/>
              <w:autoSpaceDE w:val="0"/>
              <w:autoSpaceDN w:val="0"/>
              <w:adjustRightInd w:val="0"/>
              <w:jc w:val="center"/>
              <w:rPr>
                <w:b/>
                <w:sz w:val="16"/>
                <w:szCs w:val="16"/>
              </w:rPr>
            </w:pPr>
            <w:r>
              <w:rPr>
                <w:b/>
                <w:sz w:val="16"/>
                <w:szCs w:val="16"/>
              </w:rPr>
              <w:t>+</w:t>
            </w:r>
            <w:r w:rsidR="00C86D5A">
              <w:rPr>
                <w:b/>
                <w:sz w:val="16"/>
                <w:szCs w:val="16"/>
              </w:rPr>
              <w:t>145</w:t>
            </w:r>
            <w:r>
              <w:rPr>
                <w:b/>
                <w:sz w:val="16"/>
                <w:szCs w:val="16"/>
              </w:rPr>
              <w:t>.</w:t>
            </w:r>
            <w:r w:rsidR="00C86D5A">
              <w:rPr>
                <w:b/>
                <w:sz w:val="16"/>
                <w:szCs w:val="16"/>
              </w:rPr>
              <w:t>657</w:t>
            </w:r>
            <w:r>
              <w:rPr>
                <w:b/>
                <w:sz w:val="16"/>
                <w:szCs w:val="16"/>
              </w:rPr>
              <w:t>.</w:t>
            </w:r>
            <w:r w:rsidR="00C86D5A">
              <w:rPr>
                <w:b/>
                <w:sz w:val="16"/>
                <w:szCs w:val="16"/>
              </w:rPr>
              <w:t>775</w:t>
            </w:r>
          </w:p>
        </w:tc>
        <w:tc>
          <w:tcPr>
            <w:tcW w:w="1559" w:type="dxa"/>
            <w:tcBorders>
              <w:top w:val="single" w:sz="12" w:space="0" w:color="auto"/>
              <w:left w:val="single" w:sz="12" w:space="0" w:color="auto"/>
              <w:bottom w:val="nil"/>
              <w:right w:val="single" w:sz="12" w:space="0" w:color="auto"/>
            </w:tcBorders>
            <w:vAlign w:val="center"/>
          </w:tcPr>
          <w:p w:rsidR="00261131" w:rsidRPr="003739B0" w:rsidRDefault="00DB6193" w:rsidP="008615E6">
            <w:pPr>
              <w:widowControl w:val="0"/>
              <w:autoSpaceDE w:val="0"/>
              <w:autoSpaceDN w:val="0"/>
              <w:adjustRightInd w:val="0"/>
              <w:rPr>
                <w:b/>
                <w:sz w:val="16"/>
                <w:szCs w:val="16"/>
              </w:rPr>
            </w:pPr>
            <w:r>
              <w:rPr>
                <w:b/>
                <w:sz w:val="16"/>
                <w:szCs w:val="16"/>
              </w:rPr>
              <w:t xml:space="preserve">           +627,3</w:t>
            </w:r>
          </w:p>
        </w:tc>
        <w:tc>
          <w:tcPr>
            <w:tcW w:w="1560" w:type="dxa"/>
            <w:tcBorders>
              <w:top w:val="single" w:sz="12" w:space="0" w:color="auto"/>
              <w:left w:val="single" w:sz="12" w:space="0" w:color="auto"/>
              <w:bottom w:val="nil"/>
              <w:right w:val="single" w:sz="12" w:space="0" w:color="auto"/>
            </w:tcBorders>
            <w:vAlign w:val="center"/>
          </w:tcPr>
          <w:p w:rsidR="00261131" w:rsidRPr="003739B0" w:rsidRDefault="003F76C7" w:rsidP="00261131">
            <w:pPr>
              <w:widowControl w:val="0"/>
              <w:autoSpaceDE w:val="0"/>
              <w:autoSpaceDN w:val="0"/>
              <w:adjustRightInd w:val="0"/>
              <w:rPr>
                <w:b/>
                <w:sz w:val="16"/>
                <w:szCs w:val="16"/>
              </w:rPr>
            </w:pPr>
            <w:r>
              <w:rPr>
                <w:b/>
                <w:sz w:val="16"/>
                <w:szCs w:val="16"/>
              </w:rPr>
              <w:t xml:space="preserve">        +39.038.000</w:t>
            </w:r>
          </w:p>
        </w:tc>
        <w:tc>
          <w:tcPr>
            <w:tcW w:w="1559" w:type="dxa"/>
            <w:tcBorders>
              <w:top w:val="single" w:sz="12" w:space="0" w:color="auto"/>
              <w:left w:val="single" w:sz="12" w:space="0" w:color="auto"/>
              <w:bottom w:val="nil"/>
              <w:right w:val="single" w:sz="12" w:space="0" w:color="auto"/>
            </w:tcBorders>
            <w:vAlign w:val="center"/>
          </w:tcPr>
          <w:p w:rsidR="00261131" w:rsidRPr="003739B0" w:rsidRDefault="00DB6193" w:rsidP="008615E6">
            <w:pPr>
              <w:widowControl w:val="0"/>
              <w:autoSpaceDE w:val="0"/>
              <w:autoSpaceDN w:val="0"/>
              <w:adjustRightInd w:val="0"/>
              <w:rPr>
                <w:b/>
                <w:sz w:val="16"/>
                <w:szCs w:val="16"/>
              </w:rPr>
            </w:pPr>
            <w:r>
              <w:rPr>
                <w:b/>
                <w:sz w:val="16"/>
                <w:szCs w:val="16"/>
              </w:rPr>
              <w:t>+273,1</w:t>
            </w:r>
          </w:p>
        </w:tc>
      </w:tr>
      <w:tr w:rsidR="00261131" w:rsidTr="00261131">
        <w:trPr>
          <w:trHeight w:val="570"/>
        </w:trPr>
        <w:tc>
          <w:tcPr>
            <w:tcW w:w="1897" w:type="dxa"/>
            <w:tcBorders>
              <w:top w:val="single" w:sz="12" w:space="0" w:color="auto"/>
              <w:left w:val="single" w:sz="12" w:space="0" w:color="auto"/>
              <w:bottom w:val="single" w:sz="12" w:space="0" w:color="auto"/>
              <w:right w:val="single" w:sz="12" w:space="0" w:color="auto"/>
            </w:tcBorders>
            <w:vAlign w:val="center"/>
          </w:tcPr>
          <w:p w:rsidR="00261131" w:rsidRDefault="00261131" w:rsidP="00261131">
            <w:pPr>
              <w:widowControl w:val="0"/>
              <w:autoSpaceDE w:val="0"/>
              <w:autoSpaceDN w:val="0"/>
              <w:adjustRightInd w:val="0"/>
              <w:rPr>
                <w:sz w:val="16"/>
              </w:rPr>
            </w:pPr>
            <w:r>
              <w:rPr>
                <w:sz w:val="16"/>
              </w:rPr>
              <w:t>Résultat opérationnel</w:t>
            </w:r>
          </w:p>
        </w:tc>
        <w:tc>
          <w:tcPr>
            <w:tcW w:w="1134" w:type="dxa"/>
            <w:tcBorders>
              <w:top w:val="single" w:sz="12" w:space="0" w:color="auto"/>
              <w:left w:val="single" w:sz="12" w:space="0" w:color="auto"/>
              <w:bottom w:val="single" w:sz="12" w:space="0" w:color="auto"/>
              <w:right w:val="single" w:sz="12" w:space="0" w:color="auto"/>
            </w:tcBorders>
            <w:vAlign w:val="center"/>
          </w:tcPr>
          <w:p w:rsidR="00261131" w:rsidRPr="003739B0" w:rsidRDefault="00C22233" w:rsidP="003F76C7">
            <w:pPr>
              <w:widowControl w:val="0"/>
              <w:autoSpaceDE w:val="0"/>
              <w:autoSpaceDN w:val="0"/>
              <w:adjustRightInd w:val="0"/>
              <w:jc w:val="center"/>
              <w:rPr>
                <w:b/>
                <w:sz w:val="16"/>
                <w:szCs w:val="16"/>
              </w:rPr>
            </w:pPr>
            <w:r>
              <w:rPr>
                <w:b/>
                <w:sz w:val="16"/>
                <w:szCs w:val="16"/>
              </w:rPr>
              <w:t xml:space="preserve">  -</w:t>
            </w:r>
            <w:r w:rsidR="003F76C7">
              <w:rPr>
                <w:b/>
                <w:sz w:val="16"/>
                <w:szCs w:val="16"/>
              </w:rPr>
              <w:t>312</w:t>
            </w:r>
            <w:r w:rsidR="00387149">
              <w:rPr>
                <w:b/>
                <w:sz w:val="16"/>
                <w:szCs w:val="16"/>
              </w:rPr>
              <w:t>.</w:t>
            </w:r>
            <w:r w:rsidR="003F76C7">
              <w:rPr>
                <w:b/>
                <w:sz w:val="16"/>
                <w:szCs w:val="16"/>
              </w:rPr>
              <w:t>187</w:t>
            </w:r>
            <w:r w:rsidR="00387149">
              <w:rPr>
                <w:b/>
                <w:sz w:val="16"/>
                <w:szCs w:val="16"/>
              </w:rPr>
              <w:t>.</w:t>
            </w:r>
            <w:r w:rsidR="003F76C7">
              <w:rPr>
                <w:b/>
                <w:sz w:val="16"/>
                <w:szCs w:val="16"/>
              </w:rPr>
              <w:t>268</w:t>
            </w:r>
          </w:p>
        </w:tc>
        <w:tc>
          <w:tcPr>
            <w:tcW w:w="1701" w:type="dxa"/>
            <w:tcBorders>
              <w:top w:val="single" w:sz="12" w:space="0" w:color="auto"/>
              <w:left w:val="single" w:sz="12" w:space="0" w:color="auto"/>
              <w:bottom w:val="single" w:sz="12" w:space="0" w:color="auto"/>
              <w:right w:val="single" w:sz="12" w:space="0" w:color="auto"/>
            </w:tcBorders>
            <w:vAlign w:val="center"/>
          </w:tcPr>
          <w:p w:rsidR="00DB6193" w:rsidRPr="003739B0" w:rsidRDefault="00DB6193" w:rsidP="00DB6193">
            <w:pPr>
              <w:widowControl w:val="0"/>
              <w:autoSpaceDE w:val="0"/>
              <w:autoSpaceDN w:val="0"/>
              <w:adjustRightInd w:val="0"/>
              <w:rPr>
                <w:b/>
                <w:sz w:val="16"/>
                <w:szCs w:val="16"/>
              </w:rPr>
            </w:pPr>
            <w:r>
              <w:rPr>
                <w:b/>
                <w:sz w:val="16"/>
                <w:szCs w:val="16"/>
              </w:rPr>
              <w:t>-187.176.724</w:t>
            </w:r>
          </w:p>
        </w:tc>
        <w:tc>
          <w:tcPr>
            <w:tcW w:w="1559" w:type="dxa"/>
            <w:tcBorders>
              <w:top w:val="single" w:sz="12" w:space="0" w:color="auto"/>
              <w:left w:val="single" w:sz="12" w:space="0" w:color="auto"/>
              <w:bottom w:val="single" w:sz="12" w:space="0" w:color="auto"/>
              <w:right w:val="single" w:sz="12" w:space="0" w:color="auto"/>
            </w:tcBorders>
            <w:vAlign w:val="center"/>
          </w:tcPr>
          <w:p w:rsidR="00261131" w:rsidRPr="00613D7E" w:rsidRDefault="00DB6193" w:rsidP="00261131">
            <w:pPr>
              <w:widowControl w:val="0"/>
              <w:autoSpaceDE w:val="0"/>
              <w:autoSpaceDN w:val="0"/>
              <w:adjustRightInd w:val="0"/>
              <w:rPr>
                <w:b/>
                <w:sz w:val="16"/>
                <w:szCs w:val="16"/>
              </w:rPr>
            </w:pPr>
            <w:r>
              <w:rPr>
                <w:b/>
                <w:sz w:val="16"/>
                <w:szCs w:val="16"/>
              </w:rPr>
              <w:t xml:space="preserve">            -40,0</w:t>
            </w:r>
          </w:p>
        </w:tc>
        <w:tc>
          <w:tcPr>
            <w:tcW w:w="1560" w:type="dxa"/>
            <w:tcBorders>
              <w:top w:val="single" w:sz="12" w:space="0" w:color="auto"/>
              <w:left w:val="single" w:sz="12" w:space="0" w:color="auto"/>
              <w:bottom w:val="single" w:sz="12" w:space="0" w:color="auto"/>
              <w:right w:val="single" w:sz="12" w:space="0" w:color="auto"/>
            </w:tcBorders>
            <w:vAlign w:val="center"/>
          </w:tcPr>
          <w:p w:rsidR="00261131" w:rsidRPr="00613D7E" w:rsidRDefault="007B36C8" w:rsidP="00261131">
            <w:pPr>
              <w:widowControl w:val="0"/>
              <w:autoSpaceDE w:val="0"/>
              <w:autoSpaceDN w:val="0"/>
              <w:adjustRightInd w:val="0"/>
              <w:rPr>
                <w:b/>
                <w:sz w:val="16"/>
                <w:szCs w:val="16"/>
              </w:rPr>
            </w:pPr>
            <w:r>
              <w:rPr>
                <w:b/>
                <w:sz w:val="16"/>
                <w:szCs w:val="16"/>
              </w:rPr>
              <w:t xml:space="preserve">        -276.144.500</w:t>
            </w:r>
          </w:p>
        </w:tc>
        <w:tc>
          <w:tcPr>
            <w:tcW w:w="1559" w:type="dxa"/>
            <w:tcBorders>
              <w:top w:val="single" w:sz="12" w:space="0" w:color="auto"/>
              <w:left w:val="single" w:sz="12" w:space="0" w:color="auto"/>
              <w:bottom w:val="single" w:sz="12" w:space="0" w:color="auto"/>
              <w:right w:val="single" w:sz="12" w:space="0" w:color="auto"/>
            </w:tcBorders>
            <w:vAlign w:val="center"/>
          </w:tcPr>
          <w:p w:rsidR="00261131" w:rsidRPr="00613D7E" w:rsidRDefault="00DB6193" w:rsidP="00511581">
            <w:pPr>
              <w:widowControl w:val="0"/>
              <w:autoSpaceDE w:val="0"/>
              <w:autoSpaceDN w:val="0"/>
              <w:adjustRightInd w:val="0"/>
              <w:rPr>
                <w:b/>
                <w:sz w:val="16"/>
                <w:szCs w:val="16"/>
              </w:rPr>
            </w:pPr>
            <w:r>
              <w:rPr>
                <w:b/>
                <w:sz w:val="16"/>
                <w:szCs w:val="16"/>
              </w:rPr>
              <w:t>-32,2</w:t>
            </w:r>
          </w:p>
        </w:tc>
      </w:tr>
      <w:tr w:rsidR="00261131" w:rsidTr="00261131">
        <w:trPr>
          <w:trHeight w:val="615"/>
        </w:trPr>
        <w:tc>
          <w:tcPr>
            <w:tcW w:w="1897" w:type="dxa"/>
            <w:tcBorders>
              <w:top w:val="single" w:sz="12" w:space="0" w:color="auto"/>
              <w:left w:val="single" w:sz="12" w:space="0" w:color="auto"/>
              <w:bottom w:val="single" w:sz="12" w:space="0" w:color="auto"/>
              <w:right w:val="single" w:sz="12" w:space="0" w:color="auto"/>
            </w:tcBorders>
            <w:vAlign w:val="center"/>
          </w:tcPr>
          <w:p w:rsidR="00261131" w:rsidRDefault="00261131" w:rsidP="00261131">
            <w:pPr>
              <w:widowControl w:val="0"/>
              <w:autoSpaceDE w:val="0"/>
              <w:autoSpaceDN w:val="0"/>
              <w:adjustRightInd w:val="0"/>
              <w:rPr>
                <w:sz w:val="16"/>
              </w:rPr>
            </w:pPr>
            <w:r>
              <w:rPr>
                <w:sz w:val="16"/>
              </w:rPr>
              <w:t xml:space="preserve">Résultat financier  </w:t>
            </w:r>
          </w:p>
        </w:tc>
        <w:tc>
          <w:tcPr>
            <w:tcW w:w="1134" w:type="dxa"/>
            <w:tcBorders>
              <w:top w:val="single" w:sz="12" w:space="0" w:color="auto"/>
              <w:left w:val="single" w:sz="12" w:space="0" w:color="auto"/>
              <w:bottom w:val="single" w:sz="12" w:space="0" w:color="auto"/>
              <w:right w:val="single" w:sz="12" w:space="0" w:color="auto"/>
            </w:tcBorders>
            <w:vAlign w:val="center"/>
          </w:tcPr>
          <w:p w:rsidR="00261131" w:rsidRPr="003739B0" w:rsidRDefault="00387149" w:rsidP="003F76C7">
            <w:pPr>
              <w:widowControl w:val="0"/>
              <w:autoSpaceDE w:val="0"/>
              <w:autoSpaceDN w:val="0"/>
              <w:adjustRightInd w:val="0"/>
              <w:jc w:val="center"/>
              <w:rPr>
                <w:b/>
                <w:sz w:val="16"/>
                <w:szCs w:val="16"/>
              </w:rPr>
            </w:pPr>
            <w:r>
              <w:rPr>
                <w:b/>
                <w:sz w:val="16"/>
                <w:szCs w:val="16"/>
              </w:rPr>
              <w:t xml:space="preserve">    -</w:t>
            </w:r>
            <w:r w:rsidR="003F76C7">
              <w:rPr>
                <w:b/>
                <w:sz w:val="16"/>
                <w:szCs w:val="16"/>
              </w:rPr>
              <w:t>694</w:t>
            </w:r>
            <w:r>
              <w:rPr>
                <w:b/>
                <w:sz w:val="16"/>
                <w:szCs w:val="16"/>
              </w:rPr>
              <w:t>.</w:t>
            </w:r>
            <w:r w:rsidR="003F76C7">
              <w:rPr>
                <w:b/>
                <w:sz w:val="16"/>
                <w:szCs w:val="16"/>
              </w:rPr>
              <w:t>153</w:t>
            </w:r>
          </w:p>
        </w:tc>
        <w:tc>
          <w:tcPr>
            <w:tcW w:w="1701" w:type="dxa"/>
            <w:tcBorders>
              <w:top w:val="single" w:sz="12" w:space="0" w:color="auto"/>
              <w:left w:val="single" w:sz="12" w:space="0" w:color="auto"/>
              <w:bottom w:val="single" w:sz="12" w:space="0" w:color="auto"/>
              <w:right w:val="single" w:sz="12" w:space="0" w:color="auto"/>
            </w:tcBorders>
            <w:vAlign w:val="center"/>
          </w:tcPr>
          <w:p w:rsidR="00261131" w:rsidRPr="003739B0" w:rsidRDefault="003B36C7" w:rsidP="00DB6193">
            <w:pPr>
              <w:widowControl w:val="0"/>
              <w:autoSpaceDE w:val="0"/>
              <w:autoSpaceDN w:val="0"/>
              <w:adjustRightInd w:val="0"/>
              <w:rPr>
                <w:b/>
                <w:sz w:val="16"/>
                <w:szCs w:val="16"/>
              </w:rPr>
            </w:pPr>
            <w:r>
              <w:rPr>
                <w:b/>
                <w:sz w:val="16"/>
                <w:szCs w:val="16"/>
              </w:rPr>
              <w:t xml:space="preserve">            -</w:t>
            </w:r>
            <w:r w:rsidR="00DB6193">
              <w:rPr>
                <w:b/>
                <w:sz w:val="16"/>
                <w:szCs w:val="16"/>
              </w:rPr>
              <w:t>5</w:t>
            </w:r>
            <w:r>
              <w:rPr>
                <w:b/>
                <w:sz w:val="16"/>
                <w:szCs w:val="16"/>
              </w:rPr>
              <w:t>.</w:t>
            </w:r>
            <w:r w:rsidR="00DB6193">
              <w:rPr>
                <w:b/>
                <w:sz w:val="16"/>
                <w:szCs w:val="16"/>
              </w:rPr>
              <w:t>251</w:t>
            </w:r>
            <w:r>
              <w:rPr>
                <w:b/>
                <w:sz w:val="16"/>
                <w:szCs w:val="16"/>
              </w:rPr>
              <w:t>.</w:t>
            </w:r>
            <w:r w:rsidR="00DB6193">
              <w:rPr>
                <w:b/>
                <w:sz w:val="16"/>
                <w:szCs w:val="16"/>
              </w:rPr>
              <w:t>491</w:t>
            </w:r>
          </w:p>
        </w:tc>
        <w:tc>
          <w:tcPr>
            <w:tcW w:w="1559" w:type="dxa"/>
            <w:tcBorders>
              <w:top w:val="single" w:sz="12" w:space="0" w:color="auto"/>
              <w:left w:val="single" w:sz="12" w:space="0" w:color="auto"/>
              <w:bottom w:val="single" w:sz="12" w:space="0" w:color="auto"/>
              <w:right w:val="single" w:sz="12" w:space="0" w:color="auto"/>
            </w:tcBorders>
            <w:vAlign w:val="center"/>
          </w:tcPr>
          <w:p w:rsidR="00261131" w:rsidRPr="00C94E0E" w:rsidRDefault="00DB6193" w:rsidP="00387149">
            <w:pPr>
              <w:widowControl w:val="0"/>
              <w:autoSpaceDE w:val="0"/>
              <w:autoSpaceDN w:val="0"/>
              <w:adjustRightInd w:val="0"/>
              <w:rPr>
                <w:b/>
                <w:sz w:val="16"/>
                <w:szCs w:val="16"/>
              </w:rPr>
            </w:pPr>
            <w:r>
              <w:rPr>
                <w:b/>
                <w:sz w:val="16"/>
                <w:szCs w:val="16"/>
              </w:rPr>
              <w:t>+</w:t>
            </w:r>
            <w:r w:rsidR="00CE7CAF">
              <w:rPr>
                <w:b/>
                <w:sz w:val="16"/>
                <w:szCs w:val="16"/>
              </w:rPr>
              <w:t>656,5</w:t>
            </w:r>
          </w:p>
        </w:tc>
        <w:tc>
          <w:tcPr>
            <w:tcW w:w="1560" w:type="dxa"/>
            <w:tcBorders>
              <w:top w:val="single" w:sz="12" w:space="0" w:color="auto"/>
              <w:left w:val="single" w:sz="12" w:space="0" w:color="auto"/>
              <w:bottom w:val="single" w:sz="12" w:space="0" w:color="auto"/>
              <w:right w:val="single" w:sz="12" w:space="0" w:color="auto"/>
            </w:tcBorders>
            <w:vAlign w:val="center"/>
          </w:tcPr>
          <w:p w:rsidR="00261131" w:rsidRPr="00613D7E" w:rsidRDefault="003F76C7" w:rsidP="003F76C7">
            <w:pPr>
              <w:widowControl w:val="0"/>
              <w:autoSpaceDE w:val="0"/>
              <w:autoSpaceDN w:val="0"/>
              <w:adjustRightInd w:val="0"/>
              <w:rPr>
                <w:b/>
                <w:sz w:val="16"/>
                <w:szCs w:val="16"/>
              </w:rPr>
            </w:pPr>
            <w:r>
              <w:rPr>
                <w:b/>
                <w:sz w:val="16"/>
                <w:szCs w:val="16"/>
              </w:rPr>
              <w:t>-3.000.000</w:t>
            </w:r>
          </w:p>
        </w:tc>
        <w:tc>
          <w:tcPr>
            <w:tcW w:w="1559" w:type="dxa"/>
            <w:tcBorders>
              <w:top w:val="single" w:sz="12" w:space="0" w:color="auto"/>
              <w:left w:val="single" w:sz="12" w:space="0" w:color="auto"/>
              <w:bottom w:val="single" w:sz="12" w:space="0" w:color="auto"/>
              <w:right w:val="single" w:sz="12" w:space="0" w:color="auto"/>
            </w:tcBorders>
            <w:vAlign w:val="center"/>
          </w:tcPr>
          <w:p w:rsidR="00261131" w:rsidRPr="00613D7E" w:rsidRDefault="00DB6193" w:rsidP="00B8238C">
            <w:pPr>
              <w:widowControl w:val="0"/>
              <w:autoSpaceDE w:val="0"/>
              <w:autoSpaceDN w:val="0"/>
              <w:adjustRightInd w:val="0"/>
              <w:rPr>
                <w:b/>
                <w:sz w:val="16"/>
                <w:szCs w:val="16"/>
              </w:rPr>
            </w:pPr>
            <w:r>
              <w:rPr>
                <w:b/>
                <w:sz w:val="16"/>
                <w:szCs w:val="16"/>
              </w:rPr>
              <w:t xml:space="preserve"> +</w:t>
            </w:r>
            <w:r w:rsidR="00CE7CAF">
              <w:rPr>
                <w:b/>
                <w:sz w:val="16"/>
                <w:szCs w:val="16"/>
              </w:rPr>
              <w:t>75,0</w:t>
            </w:r>
          </w:p>
        </w:tc>
      </w:tr>
      <w:tr w:rsidR="00261131" w:rsidTr="00261131">
        <w:trPr>
          <w:trHeight w:val="600"/>
        </w:trPr>
        <w:tc>
          <w:tcPr>
            <w:tcW w:w="1897"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Default="00261131" w:rsidP="00261131">
            <w:pPr>
              <w:widowControl w:val="0"/>
              <w:autoSpaceDE w:val="0"/>
              <w:autoSpaceDN w:val="0"/>
              <w:adjustRightInd w:val="0"/>
              <w:rPr>
                <w:b/>
                <w:sz w:val="16"/>
              </w:rPr>
            </w:pPr>
            <w:r>
              <w:rPr>
                <w:b/>
                <w:sz w:val="16"/>
              </w:rPr>
              <w:t>Résultat ordinaire (Brut)</w:t>
            </w:r>
          </w:p>
        </w:tc>
        <w:tc>
          <w:tcPr>
            <w:tcW w:w="1134" w:type="dxa"/>
            <w:tcBorders>
              <w:top w:val="single" w:sz="12" w:space="0" w:color="auto"/>
              <w:left w:val="single" w:sz="12" w:space="0" w:color="auto"/>
              <w:bottom w:val="single" w:sz="12" w:space="0" w:color="auto"/>
              <w:right w:val="single" w:sz="12" w:space="0" w:color="auto"/>
            </w:tcBorders>
            <w:shd w:val="clear" w:color="auto" w:fill="00FFFF"/>
            <w:vAlign w:val="center"/>
          </w:tcPr>
          <w:p w:rsidR="003F76C7" w:rsidRPr="003F76C7" w:rsidRDefault="00C22233" w:rsidP="003F76C7">
            <w:pPr>
              <w:widowControl w:val="0"/>
              <w:autoSpaceDE w:val="0"/>
              <w:autoSpaceDN w:val="0"/>
              <w:adjustRightInd w:val="0"/>
              <w:jc w:val="right"/>
              <w:rPr>
                <w:b/>
                <w:sz w:val="16"/>
                <w:szCs w:val="16"/>
              </w:rPr>
            </w:pPr>
            <w:r>
              <w:rPr>
                <w:b/>
                <w:sz w:val="16"/>
                <w:szCs w:val="16"/>
              </w:rPr>
              <w:t>-</w:t>
            </w:r>
            <w:r w:rsidR="003F76C7">
              <w:rPr>
                <w:b/>
                <w:sz w:val="16"/>
                <w:szCs w:val="16"/>
              </w:rPr>
              <w:t>316</w:t>
            </w:r>
            <w:r w:rsidR="00387149">
              <w:rPr>
                <w:b/>
                <w:sz w:val="16"/>
                <w:szCs w:val="16"/>
              </w:rPr>
              <w:t>.</w:t>
            </w:r>
            <w:r w:rsidR="003F76C7">
              <w:rPr>
                <w:b/>
                <w:sz w:val="16"/>
                <w:szCs w:val="16"/>
              </w:rPr>
              <w:t>307</w:t>
            </w:r>
            <w:r w:rsidR="00387149">
              <w:rPr>
                <w:b/>
                <w:sz w:val="16"/>
                <w:szCs w:val="16"/>
              </w:rPr>
              <w:t>.</w:t>
            </w:r>
            <w:r w:rsidR="003F76C7">
              <w:rPr>
                <w:b/>
                <w:sz w:val="16"/>
                <w:szCs w:val="16"/>
              </w:rPr>
              <w:t>156</w:t>
            </w:r>
          </w:p>
        </w:tc>
        <w:tc>
          <w:tcPr>
            <w:tcW w:w="1701"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3739B0" w:rsidRDefault="003B36C7" w:rsidP="00DB6193">
            <w:pPr>
              <w:widowControl w:val="0"/>
              <w:autoSpaceDE w:val="0"/>
              <w:autoSpaceDN w:val="0"/>
              <w:adjustRightInd w:val="0"/>
              <w:rPr>
                <w:b/>
                <w:sz w:val="16"/>
                <w:szCs w:val="16"/>
              </w:rPr>
            </w:pPr>
            <w:r>
              <w:rPr>
                <w:b/>
                <w:sz w:val="16"/>
                <w:szCs w:val="16"/>
              </w:rPr>
              <w:t>-</w:t>
            </w:r>
            <w:r w:rsidR="00DB6193">
              <w:rPr>
                <w:b/>
                <w:sz w:val="16"/>
                <w:szCs w:val="16"/>
              </w:rPr>
              <w:t>189</w:t>
            </w:r>
            <w:r>
              <w:rPr>
                <w:b/>
                <w:sz w:val="16"/>
                <w:szCs w:val="16"/>
              </w:rPr>
              <w:t>.</w:t>
            </w:r>
            <w:r w:rsidR="00DB6193">
              <w:rPr>
                <w:b/>
                <w:sz w:val="16"/>
                <w:szCs w:val="16"/>
              </w:rPr>
              <w:t>484</w:t>
            </w:r>
            <w:r>
              <w:rPr>
                <w:b/>
                <w:sz w:val="16"/>
                <w:szCs w:val="16"/>
              </w:rPr>
              <w:t>.</w:t>
            </w:r>
            <w:r w:rsidR="00DB6193">
              <w:rPr>
                <w:b/>
                <w:sz w:val="16"/>
                <w:szCs w:val="16"/>
              </w:rPr>
              <w:t>884</w:t>
            </w:r>
          </w:p>
        </w:tc>
        <w:tc>
          <w:tcPr>
            <w:tcW w:w="1559"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613D7E" w:rsidRDefault="00CE7CAF" w:rsidP="00387149">
            <w:pPr>
              <w:widowControl w:val="0"/>
              <w:autoSpaceDE w:val="0"/>
              <w:autoSpaceDN w:val="0"/>
              <w:adjustRightInd w:val="0"/>
              <w:rPr>
                <w:b/>
                <w:sz w:val="16"/>
                <w:szCs w:val="16"/>
              </w:rPr>
            </w:pPr>
            <w:r>
              <w:rPr>
                <w:b/>
                <w:sz w:val="16"/>
                <w:szCs w:val="16"/>
              </w:rPr>
              <w:t xml:space="preserve">            -40,1</w:t>
            </w:r>
          </w:p>
        </w:tc>
        <w:tc>
          <w:tcPr>
            <w:tcW w:w="1560"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613D7E" w:rsidRDefault="007B36C8" w:rsidP="00261131">
            <w:pPr>
              <w:widowControl w:val="0"/>
              <w:autoSpaceDE w:val="0"/>
              <w:autoSpaceDN w:val="0"/>
              <w:adjustRightInd w:val="0"/>
              <w:rPr>
                <w:b/>
                <w:sz w:val="16"/>
                <w:szCs w:val="16"/>
              </w:rPr>
            </w:pPr>
            <w:r>
              <w:rPr>
                <w:b/>
                <w:sz w:val="16"/>
                <w:szCs w:val="16"/>
              </w:rPr>
              <w:t>-279.144.500</w:t>
            </w:r>
          </w:p>
        </w:tc>
        <w:tc>
          <w:tcPr>
            <w:tcW w:w="1559" w:type="dxa"/>
            <w:tcBorders>
              <w:top w:val="single" w:sz="12" w:space="0" w:color="auto"/>
              <w:left w:val="single" w:sz="12" w:space="0" w:color="auto"/>
              <w:bottom w:val="single" w:sz="12" w:space="0" w:color="auto"/>
              <w:right w:val="single" w:sz="12" w:space="0" w:color="auto"/>
            </w:tcBorders>
            <w:shd w:val="clear" w:color="auto" w:fill="00FFFF"/>
            <w:vAlign w:val="center"/>
          </w:tcPr>
          <w:p w:rsidR="00261131" w:rsidRPr="00613D7E" w:rsidRDefault="00CE7CAF" w:rsidP="00B8238C">
            <w:pPr>
              <w:widowControl w:val="0"/>
              <w:autoSpaceDE w:val="0"/>
              <w:autoSpaceDN w:val="0"/>
              <w:adjustRightInd w:val="0"/>
              <w:rPr>
                <w:b/>
                <w:sz w:val="16"/>
                <w:szCs w:val="16"/>
              </w:rPr>
            </w:pPr>
            <w:r>
              <w:rPr>
                <w:b/>
                <w:sz w:val="16"/>
                <w:szCs w:val="16"/>
              </w:rPr>
              <w:t xml:space="preserve">    -32,1</w:t>
            </w:r>
          </w:p>
        </w:tc>
      </w:tr>
    </w:tbl>
    <w:p w:rsidR="005E512E" w:rsidRPr="00D82B4D" w:rsidRDefault="005E512E" w:rsidP="005E512E"/>
    <w:p w:rsidR="00261131" w:rsidRDefault="00261131" w:rsidP="008615E6">
      <w:pPr>
        <w:tabs>
          <w:tab w:val="left" w:pos="3048"/>
        </w:tabs>
        <w:jc w:val="both"/>
        <w:rPr>
          <w:sz w:val="28"/>
        </w:rPr>
      </w:pPr>
    </w:p>
    <w:p w:rsidR="004A5F5E" w:rsidRDefault="005E512E" w:rsidP="004A5F5E">
      <w:pPr>
        <w:tabs>
          <w:tab w:val="left" w:pos="3048"/>
        </w:tabs>
        <w:ind w:left="426"/>
        <w:jc w:val="both"/>
        <w:rPr>
          <w:sz w:val="28"/>
        </w:rPr>
      </w:pPr>
      <w:r>
        <w:rPr>
          <w:sz w:val="28"/>
        </w:rPr>
        <w:t xml:space="preserve">Le résultat </w:t>
      </w:r>
      <w:r w:rsidR="00511581">
        <w:rPr>
          <w:sz w:val="28"/>
        </w:rPr>
        <w:t xml:space="preserve">global déficitaire </w:t>
      </w:r>
      <w:r w:rsidR="008A2AD3">
        <w:rPr>
          <w:sz w:val="28"/>
        </w:rPr>
        <w:t xml:space="preserve">enregistré </w:t>
      </w:r>
      <w:r w:rsidR="00B50B11">
        <w:rPr>
          <w:sz w:val="28"/>
        </w:rPr>
        <w:t xml:space="preserve">au titre du premier semestre </w:t>
      </w:r>
      <w:r w:rsidR="004A5F5E">
        <w:rPr>
          <w:sz w:val="28"/>
        </w:rPr>
        <w:t>2022</w:t>
      </w:r>
      <w:r w:rsidR="00511581">
        <w:rPr>
          <w:sz w:val="28"/>
        </w:rPr>
        <w:t xml:space="preserve">  d’un montant de </w:t>
      </w:r>
      <w:r w:rsidR="004A5F5E">
        <w:rPr>
          <w:sz w:val="28"/>
        </w:rPr>
        <w:t>189,5</w:t>
      </w:r>
      <w:r w:rsidR="008B367D">
        <w:rPr>
          <w:sz w:val="28"/>
        </w:rPr>
        <w:t xml:space="preserve"> Millions de DA  est en</w:t>
      </w:r>
      <w:r w:rsidR="00A75822">
        <w:rPr>
          <w:sz w:val="28"/>
        </w:rPr>
        <w:t xml:space="preserve"> nette amélioration, comparativ</w:t>
      </w:r>
      <w:r w:rsidR="004A5F5E">
        <w:rPr>
          <w:sz w:val="28"/>
        </w:rPr>
        <w:t>ement à celui enregistré en 2021</w:t>
      </w:r>
      <w:r w:rsidR="00A75822">
        <w:rPr>
          <w:sz w:val="28"/>
        </w:rPr>
        <w:t xml:space="preserve">, </w:t>
      </w:r>
      <w:r>
        <w:rPr>
          <w:sz w:val="28"/>
        </w:rPr>
        <w:t xml:space="preserve">soit </w:t>
      </w:r>
      <w:r w:rsidR="00CB3766">
        <w:rPr>
          <w:sz w:val="28"/>
        </w:rPr>
        <w:t>moins</w:t>
      </w:r>
      <w:r w:rsidR="004A5F5E">
        <w:rPr>
          <w:sz w:val="28"/>
        </w:rPr>
        <w:t xml:space="preserve"> 40,1</w:t>
      </w:r>
      <w:r w:rsidR="006C32E3">
        <w:rPr>
          <w:sz w:val="28"/>
        </w:rPr>
        <w:t xml:space="preserve"> %. </w:t>
      </w:r>
      <w:r w:rsidR="008B367D">
        <w:rPr>
          <w:sz w:val="28"/>
        </w:rPr>
        <w:t>Il est</w:t>
      </w:r>
      <w:r w:rsidR="004A5F5E">
        <w:rPr>
          <w:sz w:val="28"/>
        </w:rPr>
        <w:t>évidemment la conséquence de l’amélioration</w:t>
      </w:r>
      <w:r w:rsidR="00A75822">
        <w:rPr>
          <w:sz w:val="28"/>
        </w:rPr>
        <w:t>de l</w:t>
      </w:r>
      <w:r w:rsidR="008B367D">
        <w:rPr>
          <w:sz w:val="28"/>
        </w:rPr>
        <w:t xml:space="preserve">’activité </w:t>
      </w:r>
      <w:r w:rsidR="00A75822">
        <w:rPr>
          <w:sz w:val="28"/>
        </w:rPr>
        <w:t xml:space="preserve">et </w:t>
      </w:r>
      <w:r w:rsidR="00971C3D">
        <w:rPr>
          <w:sz w:val="28"/>
        </w:rPr>
        <w:t xml:space="preserve">de </w:t>
      </w:r>
      <w:r w:rsidR="00A75822">
        <w:rPr>
          <w:sz w:val="28"/>
        </w:rPr>
        <w:t>l</w:t>
      </w:r>
      <w:r w:rsidR="004A5F5E">
        <w:rPr>
          <w:sz w:val="28"/>
        </w:rPr>
        <w:t xml:space="preserve">’évolution du chiffre d’affaires. </w:t>
      </w:r>
    </w:p>
    <w:p w:rsidR="004A5F5E" w:rsidRDefault="004A5F5E" w:rsidP="004A5F5E">
      <w:pPr>
        <w:tabs>
          <w:tab w:val="left" w:pos="3048"/>
        </w:tabs>
        <w:ind w:left="426"/>
        <w:jc w:val="both"/>
        <w:rPr>
          <w:sz w:val="28"/>
        </w:rPr>
      </w:pPr>
    </w:p>
    <w:p w:rsidR="005E512E" w:rsidRDefault="008B367D" w:rsidP="00511581">
      <w:pPr>
        <w:tabs>
          <w:tab w:val="left" w:pos="3048"/>
        </w:tabs>
        <w:ind w:left="426"/>
        <w:jc w:val="both"/>
        <w:rPr>
          <w:sz w:val="28"/>
        </w:rPr>
      </w:pPr>
      <w:r>
        <w:rPr>
          <w:sz w:val="28"/>
        </w:rPr>
        <w:t xml:space="preserve">Ce résultat  </w:t>
      </w:r>
      <w:r w:rsidR="00511581">
        <w:rPr>
          <w:sz w:val="28"/>
        </w:rPr>
        <w:t xml:space="preserve">global déficitaire </w:t>
      </w:r>
      <w:r>
        <w:rPr>
          <w:sz w:val="28"/>
        </w:rPr>
        <w:t xml:space="preserve">est </w:t>
      </w:r>
      <w:r w:rsidR="005E512E">
        <w:rPr>
          <w:sz w:val="28"/>
        </w:rPr>
        <w:t xml:space="preserve"> ventilé par entité comme suit :</w:t>
      </w:r>
    </w:p>
    <w:p w:rsidR="005E512E" w:rsidRDefault="005E512E" w:rsidP="005E512E">
      <w:pPr>
        <w:tabs>
          <w:tab w:val="left" w:pos="3048"/>
        </w:tabs>
        <w:ind w:left="426"/>
        <w:jc w:val="both"/>
        <w:rPr>
          <w:sz w:val="28"/>
        </w:rPr>
      </w:pPr>
    </w:p>
    <w:p w:rsidR="005E512E" w:rsidRDefault="005E512E" w:rsidP="004A5F5E">
      <w:pPr>
        <w:tabs>
          <w:tab w:val="left" w:pos="3048"/>
        </w:tabs>
        <w:ind w:left="426"/>
        <w:jc w:val="both"/>
        <w:rPr>
          <w:sz w:val="28"/>
        </w:rPr>
      </w:pPr>
      <w:r>
        <w:rPr>
          <w:sz w:val="28"/>
        </w:rPr>
        <w:t xml:space="preserve">                               U</w:t>
      </w:r>
      <w:r w:rsidRPr="00613D7E">
        <w:rPr>
          <w:sz w:val="28"/>
        </w:rPr>
        <w:t>nité EL-</w:t>
      </w:r>
      <w:proofErr w:type="spellStart"/>
      <w:r w:rsidRPr="00613D7E">
        <w:rPr>
          <w:sz w:val="28"/>
        </w:rPr>
        <w:t>Aurass</w:t>
      </w:r>
      <w:r>
        <w:rPr>
          <w:sz w:val="28"/>
        </w:rPr>
        <w:t>i</w:t>
      </w:r>
      <w:proofErr w:type="spellEnd"/>
      <w:r w:rsidR="00511581">
        <w:rPr>
          <w:sz w:val="28"/>
        </w:rPr>
        <w:t>-</w:t>
      </w:r>
      <w:r w:rsidR="004A5F5E">
        <w:rPr>
          <w:sz w:val="28"/>
        </w:rPr>
        <w:t>112</w:t>
      </w:r>
      <w:r w:rsidR="006335B2">
        <w:rPr>
          <w:sz w:val="28"/>
        </w:rPr>
        <w:t>,</w:t>
      </w:r>
      <w:r w:rsidR="004A5F5E">
        <w:rPr>
          <w:sz w:val="28"/>
        </w:rPr>
        <w:t>2</w:t>
      </w:r>
      <w:r>
        <w:rPr>
          <w:sz w:val="28"/>
        </w:rPr>
        <w:t>Millions de DA</w:t>
      </w:r>
    </w:p>
    <w:p w:rsidR="005E512E" w:rsidRDefault="005E512E" w:rsidP="004A5F5E">
      <w:pPr>
        <w:tabs>
          <w:tab w:val="left" w:pos="3048"/>
        </w:tabs>
        <w:ind w:left="426"/>
        <w:jc w:val="both"/>
        <w:rPr>
          <w:sz w:val="28"/>
        </w:rPr>
      </w:pPr>
      <w:r>
        <w:rPr>
          <w:sz w:val="28"/>
        </w:rPr>
        <w:t xml:space="preserve">                                Unité </w:t>
      </w:r>
      <w:proofErr w:type="spellStart"/>
      <w:r>
        <w:rPr>
          <w:sz w:val="28"/>
        </w:rPr>
        <w:t>Mehri</w:t>
      </w:r>
      <w:proofErr w:type="spellEnd"/>
      <w:r>
        <w:rPr>
          <w:sz w:val="28"/>
        </w:rPr>
        <w:t>-</w:t>
      </w:r>
      <w:r w:rsidR="004A5F5E">
        <w:rPr>
          <w:sz w:val="28"/>
        </w:rPr>
        <w:t>23</w:t>
      </w:r>
      <w:r>
        <w:rPr>
          <w:sz w:val="28"/>
        </w:rPr>
        <w:t>,</w:t>
      </w:r>
      <w:r w:rsidR="004A5F5E">
        <w:rPr>
          <w:sz w:val="28"/>
        </w:rPr>
        <w:t>4</w:t>
      </w:r>
      <w:r>
        <w:rPr>
          <w:sz w:val="28"/>
        </w:rPr>
        <w:t xml:space="preserve"> Millions de DA</w:t>
      </w:r>
    </w:p>
    <w:p w:rsidR="005E512E" w:rsidRDefault="005E512E" w:rsidP="00A75822">
      <w:pPr>
        <w:tabs>
          <w:tab w:val="left" w:pos="3048"/>
        </w:tabs>
        <w:ind w:left="426"/>
        <w:jc w:val="both"/>
        <w:rPr>
          <w:sz w:val="28"/>
        </w:rPr>
      </w:pPr>
      <w:r>
        <w:rPr>
          <w:sz w:val="28"/>
        </w:rPr>
        <w:t xml:space="preserve">                                Uni</w:t>
      </w:r>
      <w:r w:rsidR="008A2AD3">
        <w:rPr>
          <w:sz w:val="28"/>
        </w:rPr>
        <w:t xml:space="preserve">té </w:t>
      </w:r>
      <w:proofErr w:type="spellStart"/>
      <w:r w:rsidR="008A2AD3">
        <w:rPr>
          <w:sz w:val="28"/>
        </w:rPr>
        <w:t>Rym</w:t>
      </w:r>
      <w:proofErr w:type="spellEnd"/>
      <w:r w:rsidR="003C1F28">
        <w:rPr>
          <w:sz w:val="28"/>
        </w:rPr>
        <w:t xml:space="preserve"> -38,9 </w:t>
      </w:r>
      <w:r>
        <w:rPr>
          <w:sz w:val="28"/>
        </w:rPr>
        <w:t>Millions de DA</w:t>
      </w:r>
    </w:p>
    <w:p w:rsidR="005E512E" w:rsidRPr="00613D7E" w:rsidRDefault="005E512E" w:rsidP="00A75822">
      <w:pPr>
        <w:tabs>
          <w:tab w:val="left" w:pos="3048"/>
        </w:tabs>
        <w:ind w:left="426"/>
        <w:jc w:val="both"/>
        <w:rPr>
          <w:sz w:val="28"/>
        </w:rPr>
      </w:pPr>
      <w:r>
        <w:rPr>
          <w:sz w:val="28"/>
        </w:rPr>
        <w:t xml:space="preserve">                                Unit</w:t>
      </w:r>
      <w:r w:rsidR="008A2AD3">
        <w:rPr>
          <w:sz w:val="28"/>
        </w:rPr>
        <w:t xml:space="preserve">é </w:t>
      </w:r>
      <w:proofErr w:type="spellStart"/>
      <w:r w:rsidR="008A2AD3">
        <w:rPr>
          <w:sz w:val="28"/>
        </w:rPr>
        <w:t>Bousténe</w:t>
      </w:r>
      <w:proofErr w:type="spellEnd"/>
      <w:r w:rsidR="008B367D">
        <w:rPr>
          <w:sz w:val="28"/>
        </w:rPr>
        <w:t>-</w:t>
      </w:r>
      <w:r w:rsidR="004A5F5E">
        <w:rPr>
          <w:sz w:val="28"/>
        </w:rPr>
        <w:t>1</w:t>
      </w:r>
      <w:r w:rsidR="00A75822">
        <w:rPr>
          <w:sz w:val="28"/>
        </w:rPr>
        <w:t>5</w:t>
      </w:r>
      <w:r>
        <w:rPr>
          <w:sz w:val="28"/>
        </w:rPr>
        <w:t>,</w:t>
      </w:r>
      <w:r w:rsidR="004A5F5E">
        <w:rPr>
          <w:sz w:val="28"/>
        </w:rPr>
        <w:t xml:space="preserve">0  </w:t>
      </w:r>
      <w:r>
        <w:rPr>
          <w:sz w:val="28"/>
        </w:rPr>
        <w:t>Millions de DA</w:t>
      </w:r>
    </w:p>
    <w:p w:rsidR="005E512E" w:rsidRPr="00613D7E" w:rsidRDefault="005E512E" w:rsidP="005E512E">
      <w:pPr>
        <w:tabs>
          <w:tab w:val="left" w:pos="3048"/>
        </w:tabs>
        <w:ind w:left="426"/>
        <w:jc w:val="both"/>
        <w:rPr>
          <w:sz w:val="28"/>
        </w:rPr>
      </w:pPr>
    </w:p>
    <w:p w:rsidR="007119D7" w:rsidRDefault="0078091A" w:rsidP="003F76C7">
      <w:pPr>
        <w:tabs>
          <w:tab w:val="left" w:pos="3048"/>
        </w:tabs>
        <w:ind w:left="426"/>
        <w:jc w:val="both"/>
        <w:rPr>
          <w:sz w:val="28"/>
        </w:rPr>
      </w:pPr>
      <w:r>
        <w:rPr>
          <w:sz w:val="28"/>
        </w:rPr>
        <w:t xml:space="preserve"> Il </w:t>
      </w:r>
      <w:r w:rsidR="005E512E" w:rsidRPr="00613D7E">
        <w:rPr>
          <w:sz w:val="28"/>
        </w:rPr>
        <w:t xml:space="preserve"> représente</w:t>
      </w:r>
      <w:r w:rsidR="004A5F5E">
        <w:rPr>
          <w:sz w:val="28"/>
        </w:rPr>
        <w:t xml:space="preserve"> 27,8</w:t>
      </w:r>
      <w:r w:rsidR="005E512E" w:rsidRPr="00613D7E">
        <w:rPr>
          <w:sz w:val="28"/>
        </w:rPr>
        <w:t>% du chiffre d’affaires global et</w:t>
      </w:r>
      <w:r w:rsidR="004A5F5E">
        <w:rPr>
          <w:sz w:val="28"/>
        </w:rPr>
        <w:t xml:space="preserve"> 12,6 </w:t>
      </w:r>
      <w:r w:rsidR="005E512E" w:rsidRPr="00613D7E">
        <w:rPr>
          <w:sz w:val="28"/>
        </w:rPr>
        <w:t xml:space="preserve">% du capital social de l’Entreprise. </w:t>
      </w:r>
    </w:p>
    <w:p w:rsidR="007119D7" w:rsidRDefault="007119D7" w:rsidP="006C63C8">
      <w:pPr>
        <w:tabs>
          <w:tab w:val="left" w:pos="3048"/>
        </w:tabs>
        <w:ind w:left="426"/>
        <w:jc w:val="both"/>
        <w:rPr>
          <w:sz w:val="28"/>
        </w:rPr>
      </w:pPr>
    </w:p>
    <w:p w:rsidR="005E512E" w:rsidRDefault="000744D2" w:rsidP="005E512E">
      <w:pPr>
        <w:pStyle w:val="En-tte"/>
        <w:tabs>
          <w:tab w:val="clear" w:pos="4153"/>
          <w:tab w:val="clear" w:pos="8306"/>
        </w:tabs>
        <w:ind w:left="567"/>
        <w:jc w:val="left"/>
        <w:rPr>
          <w:b/>
          <w:color w:val="000080"/>
          <w:sz w:val="32"/>
          <w:u w:val="single"/>
        </w:rPr>
      </w:pPr>
      <w:r>
        <w:rPr>
          <w:b/>
          <w:color w:val="000080"/>
          <w:sz w:val="32"/>
          <w:u w:val="single"/>
        </w:rPr>
        <w:t>4</w:t>
      </w:r>
      <w:r w:rsidR="005E512E">
        <w:rPr>
          <w:b/>
          <w:color w:val="000080"/>
          <w:sz w:val="32"/>
          <w:u w:val="single"/>
        </w:rPr>
        <w:t>-</w:t>
      </w:r>
      <w:r>
        <w:rPr>
          <w:b/>
          <w:color w:val="000080"/>
          <w:sz w:val="32"/>
          <w:u w:val="single"/>
        </w:rPr>
        <w:t>4 / Activité bou</w:t>
      </w:r>
      <w:r w:rsidR="003F76C7">
        <w:rPr>
          <w:b/>
          <w:color w:val="000080"/>
          <w:sz w:val="32"/>
          <w:u w:val="single"/>
        </w:rPr>
        <w:t>rsière du  premier semestre 2022</w:t>
      </w:r>
      <w:r w:rsidR="005E512E">
        <w:rPr>
          <w:b/>
          <w:color w:val="000080"/>
          <w:sz w:val="32"/>
          <w:u w:val="single"/>
        </w:rPr>
        <w:t> :</w:t>
      </w:r>
    </w:p>
    <w:p w:rsidR="005E512E" w:rsidRDefault="005E512E" w:rsidP="005E512E">
      <w:pPr>
        <w:pStyle w:val="En-tte"/>
        <w:tabs>
          <w:tab w:val="clear" w:pos="4153"/>
          <w:tab w:val="clear" w:pos="8306"/>
        </w:tabs>
        <w:ind w:left="567"/>
        <w:jc w:val="both"/>
        <w:rPr>
          <w:b/>
          <w:sz w:val="28"/>
          <w:u w:val="single"/>
        </w:rPr>
      </w:pPr>
    </w:p>
    <w:p w:rsidR="005E512E" w:rsidRDefault="007F1FAE" w:rsidP="0013786E">
      <w:pPr>
        <w:pStyle w:val="Corpsdetexte"/>
        <w:ind w:left="567"/>
      </w:pPr>
      <w:r>
        <w:t>Durant le premier semestre 2022</w:t>
      </w:r>
      <w:r w:rsidR="005E512E">
        <w:t xml:space="preserve">, l’activité boursière a été marquée par une </w:t>
      </w:r>
      <w:r w:rsidR="00693257">
        <w:t xml:space="preserve">baisse </w:t>
      </w:r>
      <w:r w:rsidR="005E512E">
        <w:t>du titre</w:t>
      </w:r>
      <w:r w:rsidR="0078091A">
        <w:t xml:space="preserve"> EL-</w:t>
      </w:r>
      <w:proofErr w:type="spellStart"/>
      <w:r w:rsidR="005A54D9">
        <w:t>Aurassi</w:t>
      </w:r>
      <w:proofErr w:type="spellEnd"/>
      <w:r w:rsidR="005A54D9">
        <w:t xml:space="preserve">, il est passé de </w:t>
      </w:r>
      <w:r w:rsidR="00693257">
        <w:t>56</w:t>
      </w:r>
      <w:r w:rsidR="00387149">
        <w:t>0</w:t>
      </w:r>
      <w:r w:rsidR="005A54D9">
        <w:t xml:space="preserve">DA  à </w:t>
      </w:r>
      <w:r>
        <w:t xml:space="preserve">495 </w:t>
      </w:r>
      <w:r w:rsidR="005E512E">
        <w:t xml:space="preserve">DA l’action, soit </w:t>
      </w:r>
      <w:r w:rsidR="0013786E">
        <w:t>moins 11,6</w:t>
      </w:r>
      <w:r w:rsidR="00693257">
        <w:t>%, sachant</w:t>
      </w:r>
      <w:r w:rsidR="005E512E">
        <w:t xml:space="preserve"> que le prix à l’émission est de 400 DA. La fluctuation du cours par rapport au prix d’émission est de plus</w:t>
      </w:r>
      <w:r w:rsidR="0013786E">
        <w:t>23</w:t>
      </w:r>
      <w:r w:rsidR="00693257">
        <w:t>,</w:t>
      </w:r>
      <w:r w:rsidR="0013786E">
        <w:t>7</w:t>
      </w:r>
      <w:r w:rsidR="00693257">
        <w:t>5</w:t>
      </w:r>
      <w:r w:rsidR="005E512E">
        <w:t>%.</w:t>
      </w:r>
    </w:p>
    <w:p w:rsidR="005E512E" w:rsidRDefault="005E512E" w:rsidP="005E512E">
      <w:pPr>
        <w:pStyle w:val="Corpsdetexte"/>
        <w:ind w:left="567"/>
      </w:pPr>
    </w:p>
    <w:p w:rsidR="006335B2" w:rsidRDefault="00A8189E" w:rsidP="0013786E">
      <w:pPr>
        <w:pStyle w:val="Corpsdetexte"/>
        <w:ind w:left="567"/>
      </w:pPr>
      <w:r>
        <w:t xml:space="preserve">Au titre de </w:t>
      </w:r>
      <w:r w:rsidR="005E512E">
        <w:t xml:space="preserve">cette période le nombre de séances transigées a atteint </w:t>
      </w:r>
      <w:r w:rsidR="0013786E">
        <w:t>77</w:t>
      </w:r>
      <w:r w:rsidR="005E512E">
        <w:t>séances dont</w:t>
      </w:r>
      <w:r w:rsidR="0013786E">
        <w:t xml:space="preserve"> 75 </w:t>
      </w:r>
      <w:r w:rsidR="005E512E">
        <w:t xml:space="preserve">séances réalisées à blanc, </w:t>
      </w:r>
      <w:r w:rsidR="008B367D">
        <w:t>soit</w:t>
      </w:r>
      <w:r w:rsidR="0013786E">
        <w:t xml:space="preserve"> 97,4</w:t>
      </w:r>
      <w:r w:rsidR="008B367D">
        <w:t>% du volume transigé.</w:t>
      </w:r>
    </w:p>
    <w:p w:rsidR="003F76C7" w:rsidRDefault="003F76C7" w:rsidP="0013786E">
      <w:pPr>
        <w:pStyle w:val="Corpsdetexte"/>
      </w:pPr>
    </w:p>
    <w:p w:rsidR="005E512E" w:rsidRDefault="00C53046" w:rsidP="0013786E">
      <w:pPr>
        <w:pStyle w:val="Corpsdetexte"/>
        <w:ind w:left="567"/>
      </w:pPr>
      <w:r>
        <w:t>Le premier semestre 202</w:t>
      </w:r>
      <w:r w:rsidR="0013786E">
        <w:t>1</w:t>
      </w:r>
      <w:r>
        <w:t xml:space="preserve">, </w:t>
      </w:r>
      <w:r w:rsidR="005E512E">
        <w:t>le pourcentage de séanc</w:t>
      </w:r>
      <w:r w:rsidR="005A54D9">
        <w:t>es réalisées à blanc était de</w:t>
      </w:r>
      <w:r w:rsidR="0013786E">
        <w:t xml:space="preserve"> 84,2</w:t>
      </w:r>
      <w:r w:rsidR="005E512E">
        <w:t>%.</w:t>
      </w:r>
    </w:p>
    <w:p w:rsidR="005E512E" w:rsidRDefault="005E512E" w:rsidP="005E512E">
      <w:pPr>
        <w:pStyle w:val="Corpsdetexte"/>
      </w:pPr>
    </w:p>
    <w:p w:rsidR="005E512E" w:rsidRDefault="005E512E" w:rsidP="0013786E">
      <w:pPr>
        <w:pStyle w:val="Corpsdetexte"/>
        <w:ind w:left="567"/>
      </w:pPr>
      <w:r>
        <w:lastRenderedPageBreak/>
        <w:t>Le volume transigé estseulement de</w:t>
      </w:r>
      <w:r w:rsidR="0013786E">
        <w:t xml:space="preserve"> 2</w:t>
      </w:r>
      <w:r w:rsidR="00693257">
        <w:t>.</w:t>
      </w:r>
      <w:r w:rsidR="0013786E">
        <w:t xml:space="preserve">010 </w:t>
      </w:r>
      <w:r>
        <w:t>actions, correspondant à une masse monétaire de</w:t>
      </w:r>
      <w:r w:rsidR="0013786E">
        <w:t xml:space="preserve"> 1,1</w:t>
      </w:r>
      <w:r>
        <w:t>Millions de dinars, au cours moyen de</w:t>
      </w:r>
      <w:r w:rsidR="0013786E">
        <w:t xml:space="preserve"> 522,50</w:t>
      </w:r>
      <w:r>
        <w:t xml:space="preserve"> DA contre</w:t>
      </w:r>
      <w:r w:rsidR="0013786E">
        <w:t xml:space="preserve"> 543</w:t>
      </w:r>
      <w:r w:rsidR="004678B1">
        <w:t>,</w:t>
      </w:r>
      <w:r w:rsidR="0013786E">
        <w:t>70</w:t>
      </w:r>
      <w:r w:rsidR="00365E76">
        <w:t xml:space="preserve"> DA</w:t>
      </w:r>
      <w:r w:rsidR="0078091A">
        <w:t xml:space="preserve"> à fin </w:t>
      </w:r>
      <w:r w:rsidR="0013786E">
        <w:t>Juin 2021</w:t>
      </w:r>
      <w:r w:rsidR="00F163A1">
        <w:t>,</w:t>
      </w:r>
      <w:r>
        <w:t xml:space="preserve"> soit une </w:t>
      </w:r>
      <w:r w:rsidR="00F163A1">
        <w:t xml:space="preserve">dépréciation </w:t>
      </w:r>
      <w:r>
        <w:t>du cours moyen de l’ordre de</w:t>
      </w:r>
      <w:r w:rsidR="0013786E">
        <w:t xml:space="preserve"> 3,9</w:t>
      </w:r>
      <w:r>
        <w:t xml:space="preserve"> %.</w:t>
      </w:r>
    </w:p>
    <w:p w:rsidR="005E512E" w:rsidRDefault="005E512E" w:rsidP="005E512E">
      <w:pPr>
        <w:pStyle w:val="Corpsdetexte"/>
        <w:ind w:left="567"/>
      </w:pPr>
    </w:p>
    <w:p w:rsidR="005E512E" w:rsidRDefault="005E512E" w:rsidP="0013786E">
      <w:pPr>
        <w:pStyle w:val="Corpsdetexte"/>
        <w:ind w:left="567"/>
      </w:pPr>
      <w:r>
        <w:t>En ce qui concerne l’opération de dématérialisation des titres EL-</w:t>
      </w:r>
      <w:proofErr w:type="spellStart"/>
      <w:r>
        <w:t>Au</w:t>
      </w:r>
      <w:r w:rsidR="00365E76">
        <w:t>rassi</w:t>
      </w:r>
      <w:proofErr w:type="spellEnd"/>
      <w:r w:rsidR="00365E76">
        <w:t>, elle a atteint à fin</w:t>
      </w:r>
      <w:r w:rsidR="00387149">
        <w:t xml:space="preserve"> Juin </w:t>
      </w:r>
      <w:r w:rsidR="0013786E">
        <w:t xml:space="preserve"> 2022</w:t>
      </w:r>
      <w:r>
        <w:t xml:space="preserve"> un volume de</w:t>
      </w:r>
      <w:r w:rsidR="0013786E">
        <w:t xml:space="preserve"> 637</w:t>
      </w:r>
      <w:r w:rsidR="00C53046">
        <w:t>.</w:t>
      </w:r>
      <w:r w:rsidR="0013786E">
        <w:t>135</w:t>
      </w:r>
      <w:r>
        <w:t>actions, soit</w:t>
      </w:r>
      <w:r w:rsidR="0013786E">
        <w:t xml:space="preserve"> 53,1</w:t>
      </w:r>
      <w:r w:rsidR="00C53046">
        <w:t>%</w:t>
      </w:r>
      <w:r>
        <w:t xml:space="preserve"> du volume des action</w:t>
      </w:r>
      <w:r w:rsidR="005A54D9">
        <w:t>s admis à la cotation, contre</w:t>
      </w:r>
      <w:r w:rsidR="0013786E">
        <w:t xml:space="preserve"> 52,5</w:t>
      </w:r>
      <w:r w:rsidR="00365E76">
        <w:t xml:space="preserve">% obtenu à fin </w:t>
      </w:r>
      <w:r w:rsidR="0013786E">
        <w:t>Juin 2021</w:t>
      </w:r>
      <w:r>
        <w:t>.</w:t>
      </w:r>
    </w:p>
    <w:p w:rsidR="005E512E" w:rsidRDefault="005E512E" w:rsidP="005E512E">
      <w:pPr>
        <w:pStyle w:val="Corpsdetexte"/>
        <w:ind w:left="567"/>
      </w:pPr>
    </w:p>
    <w:p w:rsidR="00734BAF" w:rsidRDefault="00734BAF" w:rsidP="00734BAF">
      <w:pPr>
        <w:jc w:val="both"/>
        <w:rPr>
          <w:b/>
          <w:color w:val="FF0000"/>
          <w:sz w:val="32"/>
          <w:u w:val="single"/>
        </w:rPr>
      </w:pPr>
    </w:p>
    <w:p w:rsidR="00734BAF" w:rsidRDefault="00734BAF" w:rsidP="00734BAF">
      <w:pPr>
        <w:jc w:val="both"/>
        <w:rPr>
          <w:rFonts w:ascii="Albertus Extra Bold" w:hAnsi="Albertus Extra Bold"/>
          <w:b/>
          <w:color w:val="FF0000"/>
          <w:sz w:val="28"/>
        </w:rPr>
      </w:pPr>
    </w:p>
    <w:p w:rsidR="00734BAF" w:rsidRDefault="00734BAF" w:rsidP="00734BAF">
      <w:pPr>
        <w:pStyle w:val="Corpsdetexte"/>
      </w:pPr>
    </w:p>
    <w:p w:rsidR="00734BAF" w:rsidRDefault="00734BAF" w:rsidP="00734BAF">
      <w:pPr>
        <w:pStyle w:val="Corpsdetexte"/>
      </w:pPr>
    </w:p>
    <w:p w:rsidR="00734BAF" w:rsidRDefault="00734BAF" w:rsidP="00734BAF">
      <w:pPr>
        <w:pStyle w:val="Corpsdetexte"/>
      </w:pPr>
    </w:p>
    <w:p w:rsidR="00944332" w:rsidRDefault="00944332" w:rsidP="00734BAF">
      <w:pPr>
        <w:pStyle w:val="Corpsdetexte"/>
      </w:pPr>
    </w:p>
    <w:p w:rsidR="00944332" w:rsidRDefault="00944332" w:rsidP="00734BAF">
      <w:pPr>
        <w:pStyle w:val="Corpsdetexte"/>
      </w:pPr>
    </w:p>
    <w:p w:rsidR="00734BAF" w:rsidRDefault="00734BAF" w:rsidP="00734BAF">
      <w:pPr>
        <w:pStyle w:val="Corpsdetexte"/>
      </w:pPr>
    </w:p>
    <w:p w:rsidR="00944332" w:rsidRDefault="00944332" w:rsidP="00944332">
      <w:pPr>
        <w:pStyle w:val="Corpsdetexte"/>
      </w:pPr>
    </w:p>
    <w:p w:rsidR="004442DB" w:rsidRDefault="004442DB" w:rsidP="004442DB">
      <w:pPr>
        <w:pStyle w:val="Retraitcorpsdetexte"/>
      </w:pPr>
    </w:p>
    <w:p w:rsidR="004442DB" w:rsidRDefault="004442DB" w:rsidP="004442DB">
      <w:pPr>
        <w:pStyle w:val="Titre1"/>
        <w:jc w:val="center"/>
        <w:rPr>
          <w:b/>
          <w:color w:val="000080"/>
          <w:u w:val="single"/>
        </w:rPr>
      </w:pPr>
    </w:p>
    <w:p w:rsidR="000A20A7" w:rsidRDefault="000A20A7" w:rsidP="004442DB">
      <w:pPr>
        <w:pStyle w:val="Titre1"/>
        <w:jc w:val="center"/>
        <w:rPr>
          <w:b/>
          <w:color w:val="000080"/>
          <w:u w:val="single"/>
        </w:rPr>
      </w:pPr>
    </w:p>
    <w:p w:rsidR="004442DB" w:rsidRDefault="004442DB" w:rsidP="004442DB">
      <w:pPr>
        <w:jc w:val="both"/>
        <w:rPr>
          <w:sz w:val="28"/>
        </w:rPr>
      </w:pPr>
    </w:p>
    <w:p w:rsidR="00AD6F85" w:rsidRDefault="00AD6F85" w:rsidP="004442DB">
      <w:pPr>
        <w:jc w:val="both"/>
        <w:rPr>
          <w:sz w:val="28"/>
        </w:rPr>
      </w:pPr>
    </w:p>
    <w:p w:rsidR="00E80C0C" w:rsidRDefault="00E80C0C" w:rsidP="00E80C0C">
      <w:pPr>
        <w:jc w:val="both"/>
        <w:rPr>
          <w:sz w:val="28"/>
        </w:rPr>
      </w:pPr>
    </w:p>
    <w:p w:rsidR="004442DB" w:rsidRDefault="004442DB" w:rsidP="00261131">
      <w:pPr>
        <w:jc w:val="both"/>
        <w:rPr>
          <w:sz w:val="28"/>
        </w:rPr>
      </w:pPr>
    </w:p>
    <w:sectPr w:rsidR="004442DB" w:rsidSect="00C71AB7">
      <w:footerReference w:type="default" r:id="rId10"/>
      <w:pgSz w:w="11906" w:h="16838"/>
      <w:pgMar w:top="397" w:right="709" w:bottom="709" w:left="1134" w:header="624" w:footer="3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1BA" w:rsidRDefault="005611BA">
      <w:r>
        <w:separator/>
      </w:r>
    </w:p>
  </w:endnote>
  <w:endnote w:type="continuationSeparator" w:id="1">
    <w:p w:rsidR="005611BA" w:rsidRDefault="005611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gerian">
    <w:altName w:val="Courier New"/>
    <w:charset w:val="00"/>
    <w:family w:val="decorative"/>
    <w:pitch w:val="variable"/>
    <w:sig w:usb0="00000003" w:usb1="00000000" w:usb2="00000000" w:usb3="00000000" w:csb0="00000001" w:csb1="00000000"/>
  </w:font>
  <w:font w:name="Albertus Extra Bold">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D7" w:rsidRDefault="00B63DD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D7" w:rsidRDefault="005416BB">
    <w:pPr>
      <w:pStyle w:val="Pieddepage"/>
      <w:rPr>
        <w:sz w:val="16"/>
      </w:rPr>
    </w:pPr>
    <w:r>
      <w:rPr>
        <w:noProof/>
        <w:sz w:val="16"/>
      </w:rPr>
      <w:pict>
        <v:line id="_x0000_s2050" style="position:absolute;z-index:251658240" from="-18.6pt,.5pt" to="521.4pt,.5pt" o:allowincell="f"/>
      </w:pict>
    </w:r>
  </w:p>
  <w:p w:rsidR="00B63DD7" w:rsidRDefault="00B63DD7">
    <w:pPr>
      <w:pStyle w:val="Pieddepage"/>
      <w:rPr>
        <w:rStyle w:val="Numrodepage"/>
      </w:rPr>
    </w:pPr>
    <w:r>
      <w:rPr>
        <w:noProof/>
      </w:rPr>
      <w:drawing>
        <wp:anchor distT="0" distB="0" distL="114300" distR="114300" simplePos="0" relativeHeight="251657216" behindDoc="0" locked="0" layoutInCell="0" allowOverlap="1">
          <wp:simplePos x="0" y="0"/>
          <wp:positionH relativeFrom="column">
            <wp:posOffset>-235585</wp:posOffset>
          </wp:positionH>
          <wp:positionV relativeFrom="paragraph">
            <wp:posOffset>-77470</wp:posOffset>
          </wp:positionV>
          <wp:extent cx="685800" cy="50736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 cy="507365"/>
                  </a:xfrm>
                  <a:prstGeom prst="rect">
                    <a:avLst/>
                  </a:prstGeom>
                  <a:noFill/>
                </pic:spPr>
              </pic:pic>
            </a:graphicData>
          </a:graphic>
        </wp:anchor>
      </w:drawing>
    </w:r>
    <w:r>
      <w:t xml:space="preserve">                 Rapport  de gestion du Conseil d’Administration                                                                                    PAGE N°-</w:t>
    </w:r>
    <w:r w:rsidR="005416BB">
      <w:rPr>
        <w:rStyle w:val="Numrodepage"/>
      </w:rPr>
      <w:fldChar w:fldCharType="begin"/>
    </w:r>
    <w:r>
      <w:rPr>
        <w:rStyle w:val="Numrodepage"/>
      </w:rPr>
      <w:instrText xml:space="preserve"> PAGE </w:instrText>
    </w:r>
    <w:r w:rsidR="005416BB">
      <w:rPr>
        <w:rStyle w:val="Numrodepage"/>
      </w:rPr>
      <w:fldChar w:fldCharType="separate"/>
    </w:r>
    <w:r w:rsidR="00E21FA0">
      <w:rPr>
        <w:rStyle w:val="Numrodepage"/>
        <w:noProof/>
      </w:rPr>
      <w:t>28</w:t>
    </w:r>
    <w:r w:rsidR="005416BB">
      <w:rPr>
        <w:rStyle w:val="Numrodepage"/>
      </w:rPr>
      <w:fldChar w:fldCharType="end"/>
    </w:r>
  </w:p>
  <w:p w:rsidR="00B63DD7" w:rsidRDefault="00B63DD7" w:rsidP="000C7643">
    <w:pPr>
      <w:pStyle w:val="Pieddepage"/>
    </w:pPr>
    <w:proofErr w:type="spellStart"/>
    <w:proofErr w:type="gramStart"/>
    <w:r>
      <w:t>dupremi</w:t>
    </w:r>
    <w:proofErr w:type="spellEnd"/>
    <w:proofErr w:type="gramEnd"/>
    <w:r>
      <w:t xml:space="preserve">   du 1</w:t>
    </w:r>
    <w:r w:rsidRPr="00C53046">
      <w:rPr>
        <w:vertAlign w:val="superscript"/>
      </w:rPr>
      <w:t>er</w:t>
    </w:r>
    <w:r>
      <w:t xml:space="preserve">  semestre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1BA" w:rsidRDefault="005611BA">
      <w:r>
        <w:separator/>
      </w:r>
    </w:p>
  </w:footnote>
  <w:footnote w:type="continuationSeparator" w:id="1">
    <w:p w:rsidR="005611BA" w:rsidRDefault="00561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B9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030500D8"/>
    <w:multiLevelType w:val="hybridMultilevel"/>
    <w:tmpl w:val="38CEAC68"/>
    <w:lvl w:ilvl="0" w:tplc="A484CA9C">
      <w:numFmt w:val="bullet"/>
      <w:lvlText w:val="-"/>
      <w:lvlJc w:val="left"/>
      <w:pPr>
        <w:ind w:left="2487" w:hanging="360"/>
      </w:pPr>
      <w:rPr>
        <w:rFonts w:ascii="Times New Roman" w:eastAsia="Times New Roman" w:hAnsi="Times New Roman" w:cs="Times New Roman"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nsid w:val="03BE42F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741029B"/>
    <w:multiLevelType w:val="hybridMultilevel"/>
    <w:tmpl w:val="E46457BE"/>
    <w:lvl w:ilvl="0" w:tplc="6510B226">
      <w:start w:val="1"/>
      <w:numFmt w:val="decimal"/>
      <w:lvlText w:val="%1-"/>
      <w:lvlJc w:val="left"/>
      <w:pPr>
        <w:ind w:left="5332" w:hanging="360"/>
      </w:pPr>
      <w:rPr>
        <w:rFonts w:hint="default"/>
      </w:rPr>
    </w:lvl>
    <w:lvl w:ilvl="1" w:tplc="040C0019" w:tentative="1">
      <w:start w:val="1"/>
      <w:numFmt w:val="lowerLetter"/>
      <w:lvlText w:val="%2."/>
      <w:lvlJc w:val="left"/>
      <w:pPr>
        <w:ind w:left="6052" w:hanging="360"/>
      </w:pPr>
    </w:lvl>
    <w:lvl w:ilvl="2" w:tplc="040C001B" w:tentative="1">
      <w:start w:val="1"/>
      <w:numFmt w:val="lowerRoman"/>
      <w:lvlText w:val="%3."/>
      <w:lvlJc w:val="right"/>
      <w:pPr>
        <w:ind w:left="6772" w:hanging="180"/>
      </w:pPr>
    </w:lvl>
    <w:lvl w:ilvl="3" w:tplc="040C000F" w:tentative="1">
      <w:start w:val="1"/>
      <w:numFmt w:val="decimal"/>
      <w:lvlText w:val="%4."/>
      <w:lvlJc w:val="left"/>
      <w:pPr>
        <w:ind w:left="7492" w:hanging="360"/>
      </w:pPr>
    </w:lvl>
    <w:lvl w:ilvl="4" w:tplc="040C0019" w:tentative="1">
      <w:start w:val="1"/>
      <w:numFmt w:val="lowerLetter"/>
      <w:lvlText w:val="%5."/>
      <w:lvlJc w:val="left"/>
      <w:pPr>
        <w:ind w:left="8212" w:hanging="360"/>
      </w:pPr>
    </w:lvl>
    <w:lvl w:ilvl="5" w:tplc="040C001B" w:tentative="1">
      <w:start w:val="1"/>
      <w:numFmt w:val="lowerRoman"/>
      <w:lvlText w:val="%6."/>
      <w:lvlJc w:val="right"/>
      <w:pPr>
        <w:ind w:left="8932" w:hanging="180"/>
      </w:pPr>
    </w:lvl>
    <w:lvl w:ilvl="6" w:tplc="040C000F" w:tentative="1">
      <w:start w:val="1"/>
      <w:numFmt w:val="decimal"/>
      <w:lvlText w:val="%7."/>
      <w:lvlJc w:val="left"/>
      <w:pPr>
        <w:ind w:left="9652" w:hanging="360"/>
      </w:pPr>
    </w:lvl>
    <w:lvl w:ilvl="7" w:tplc="040C0019" w:tentative="1">
      <w:start w:val="1"/>
      <w:numFmt w:val="lowerLetter"/>
      <w:lvlText w:val="%8."/>
      <w:lvlJc w:val="left"/>
      <w:pPr>
        <w:ind w:left="10372" w:hanging="360"/>
      </w:pPr>
    </w:lvl>
    <w:lvl w:ilvl="8" w:tplc="040C001B" w:tentative="1">
      <w:start w:val="1"/>
      <w:numFmt w:val="lowerRoman"/>
      <w:lvlText w:val="%9."/>
      <w:lvlJc w:val="right"/>
      <w:pPr>
        <w:ind w:left="11092" w:hanging="180"/>
      </w:pPr>
    </w:lvl>
  </w:abstractNum>
  <w:abstractNum w:abstractNumId="4">
    <w:nsid w:val="0E8B1615"/>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5">
    <w:nsid w:val="10C9182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2794DF1"/>
    <w:multiLevelType w:val="hybridMultilevel"/>
    <w:tmpl w:val="6402067A"/>
    <w:lvl w:ilvl="0" w:tplc="040C000D">
      <w:start w:val="1"/>
      <w:numFmt w:val="bullet"/>
      <w:lvlText w:val=""/>
      <w:lvlJc w:val="left"/>
      <w:pPr>
        <w:ind w:left="3787" w:hanging="360"/>
      </w:pPr>
      <w:rPr>
        <w:rFonts w:ascii="Wingdings" w:hAnsi="Wingdings" w:hint="default"/>
      </w:rPr>
    </w:lvl>
    <w:lvl w:ilvl="1" w:tplc="040C0003">
      <w:start w:val="1"/>
      <w:numFmt w:val="bullet"/>
      <w:lvlText w:val="o"/>
      <w:lvlJc w:val="left"/>
      <w:pPr>
        <w:ind w:left="4507" w:hanging="360"/>
      </w:pPr>
      <w:rPr>
        <w:rFonts w:ascii="Courier New" w:hAnsi="Courier New" w:cs="Courier New" w:hint="default"/>
      </w:rPr>
    </w:lvl>
    <w:lvl w:ilvl="2" w:tplc="040C0005" w:tentative="1">
      <w:start w:val="1"/>
      <w:numFmt w:val="bullet"/>
      <w:lvlText w:val=""/>
      <w:lvlJc w:val="left"/>
      <w:pPr>
        <w:ind w:left="5227" w:hanging="360"/>
      </w:pPr>
      <w:rPr>
        <w:rFonts w:ascii="Wingdings" w:hAnsi="Wingdings" w:hint="default"/>
      </w:rPr>
    </w:lvl>
    <w:lvl w:ilvl="3" w:tplc="040C0001" w:tentative="1">
      <w:start w:val="1"/>
      <w:numFmt w:val="bullet"/>
      <w:lvlText w:val=""/>
      <w:lvlJc w:val="left"/>
      <w:pPr>
        <w:ind w:left="5947" w:hanging="360"/>
      </w:pPr>
      <w:rPr>
        <w:rFonts w:ascii="Symbol" w:hAnsi="Symbol" w:hint="default"/>
      </w:rPr>
    </w:lvl>
    <w:lvl w:ilvl="4" w:tplc="040C0003" w:tentative="1">
      <w:start w:val="1"/>
      <w:numFmt w:val="bullet"/>
      <w:lvlText w:val="o"/>
      <w:lvlJc w:val="left"/>
      <w:pPr>
        <w:ind w:left="6667" w:hanging="360"/>
      </w:pPr>
      <w:rPr>
        <w:rFonts w:ascii="Courier New" w:hAnsi="Courier New" w:cs="Courier New" w:hint="default"/>
      </w:rPr>
    </w:lvl>
    <w:lvl w:ilvl="5" w:tplc="040C0005" w:tentative="1">
      <w:start w:val="1"/>
      <w:numFmt w:val="bullet"/>
      <w:lvlText w:val=""/>
      <w:lvlJc w:val="left"/>
      <w:pPr>
        <w:ind w:left="7387" w:hanging="360"/>
      </w:pPr>
      <w:rPr>
        <w:rFonts w:ascii="Wingdings" w:hAnsi="Wingdings" w:hint="default"/>
      </w:rPr>
    </w:lvl>
    <w:lvl w:ilvl="6" w:tplc="040C0001" w:tentative="1">
      <w:start w:val="1"/>
      <w:numFmt w:val="bullet"/>
      <w:lvlText w:val=""/>
      <w:lvlJc w:val="left"/>
      <w:pPr>
        <w:ind w:left="8107" w:hanging="360"/>
      </w:pPr>
      <w:rPr>
        <w:rFonts w:ascii="Symbol" w:hAnsi="Symbol" w:hint="default"/>
      </w:rPr>
    </w:lvl>
    <w:lvl w:ilvl="7" w:tplc="040C0003" w:tentative="1">
      <w:start w:val="1"/>
      <w:numFmt w:val="bullet"/>
      <w:lvlText w:val="o"/>
      <w:lvlJc w:val="left"/>
      <w:pPr>
        <w:ind w:left="8827" w:hanging="360"/>
      </w:pPr>
      <w:rPr>
        <w:rFonts w:ascii="Courier New" w:hAnsi="Courier New" w:cs="Courier New" w:hint="default"/>
      </w:rPr>
    </w:lvl>
    <w:lvl w:ilvl="8" w:tplc="040C0005" w:tentative="1">
      <w:start w:val="1"/>
      <w:numFmt w:val="bullet"/>
      <w:lvlText w:val=""/>
      <w:lvlJc w:val="left"/>
      <w:pPr>
        <w:ind w:left="9547" w:hanging="360"/>
      </w:pPr>
      <w:rPr>
        <w:rFonts w:ascii="Wingdings" w:hAnsi="Wingdings" w:hint="default"/>
      </w:rPr>
    </w:lvl>
  </w:abstractNum>
  <w:abstractNum w:abstractNumId="7">
    <w:nsid w:val="12DB1887"/>
    <w:multiLevelType w:val="hybridMultilevel"/>
    <w:tmpl w:val="D95C5EB6"/>
    <w:lvl w:ilvl="0" w:tplc="287A227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CD83AEA"/>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9">
    <w:nsid w:val="2482489A"/>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0">
    <w:nsid w:val="24D52C6A"/>
    <w:multiLevelType w:val="hybridMultilevel"/>
    <w:tmpl w:val="4A3AE768"/>
    <w:lvl w:ilvl="0" w:tplc="040C000D">
      <w:start w:val="1"/>
      <w:numFmt w:val="bullet"/>
      <w:lvlText w:val=""/>
      <w:lvlJc w:val="left"/>
      <w:pPr>
        <w:ind w:left="3647" w:hanging="360"/>
      </w:pPr>
      <w:rPr>
        <w:rFonts w:ascii="Wingdings" w:hAnsi="Wingdings" w:hint="default"/>
      </w:rPr>
    </w:lvl>
    <w:lvl w:ilvl="1" w:tplc="040C0003" w:tentative="1">
      <w:start w:val="1"/>
      <w:numFmt w:val="bullet"/>
      <w:lvlText w:val="o"/>
      <w:lvlJc w:val="left"/>
      <w:pPr>
        <w:ind w:left="4367" w:hanging="360"/>
      </w:pPr>
      <w:rPr>
        <w:rFonts w:ascii="Courier New" w:hAnsi="Courier New" w:cs="Courier New" w:hint="default"/>
      </w:rPr>
    </w:lvl>
    <w:lvl w:ilvl="2" w:tplc="040C0005" w:tentative="1">
      <w:start w:val="1"/>
      <w:numFmt w:val="bullet"/>
      <w:lvlText w:val=""/>
      <w:lvlJc w:val="left"/>
      <w:pPr>
        <w:ind w:left="5087" w:hanging="360"/>
      </w:pPr>
      <w:rPr>
        <w:rFonts w:ascii="Wingdings" w:hAnsi="Wingdings" w:hint="default"/>
      </w:rPr>
    </w:lvl>
    <w:lvl w:ilvl="3" w:tplc="040C0001" w:tentative="1">
      <w:start w:val="1"/>
      <w:numFmt w:val="bullet"/>
      <w:lvlText w:val=""/>
      <w:lvlJc w:val="left"/>
      <w:pPr>
        <w:ind w:left="5807" w:hanging="360"/>
      </w:pPr>
      <w:rPr>
        <w:rFonts w:ascii="Symbol" w:hAnsi="Symbol" w:hint="default"/>
      </w:rPr>
    </w:lvl>
    <w:lvl w:ilvl="4" w:tplc="040C0003" w:tentative="1">
      <w:start w:val="1"/>
      <w:numFmt w:val="bullet"/>
      <w:lvlText w:val="o"/>
      <w:lvlJc w:val="left"/>
      <w:pPr>
        <w:ind w:left="6527" w:hanging="360"/>
      </w:pPr>
      <w:rPr>
        <w:rFonts w:ascii="Courier New" w:hAnsi="Courier New" w:cs="Courier New" w:hint="default"/>
      </w:rPr>
    </w:lvl>
    <w:lvl w:ilvl="5" w:tplc="040C0005" w:tentative="1">
      <w:start w:val="1"/>
      <w:numFmt w:val="bullet"/>
      <w:lvlText w:val=""/>
      <w:lvlJc w:val="left"/>
      <w:pPr>
        <w:ind w:left="7247" w:hanging="360"/>
      </w:pPr>
      <w:rPr>
        <w:rFonts w:ascii="Wingdings" w:hAnsi="Wingdings" w:hint="default"/>
      </w:rPr>
    </w:lvl>
    <w:lvl w:ilvl="6" w:tplc="040C0001" w:tentative="1">
      <w:start w:val="1"/>
      <w:numFmt w:val="bullet"/>
      <w:lvlText w:val=""/>
      <w:lvlJc w:val="left"/>
      <w:pPr>
        <w:ind w:left="7967" w:hanging="360"/>
      </w:pPr>
      <w:rPr>
        <w:rFonts w:ascii="Symbol" w:hAnsi="Symbol" w:hint="default"/>
      </w:rPr>
    </w:lvl>
    <w:lvl w:ilvl="7" w:tplc="040C0003" w:tentative="1">
      <w:start w:val="1"/>
      <w:numFmt w:val="bullet"/>
      <w:lvlText w:val="o"/>
      <w:lvlJc w:val="left"/>
      <w:pPr>
        <w:ind w:left="8687" w:hanging="360"/>
      </w:pPr>
      <w:rPr>
        <w:rFonts w:ascii="Courier New" w:hAnsi="Courier New" w:cs="Courier New" w:hint="default"/>
      </w:rPr>
    </w:lvl>
    <w:lvl w:ilvl="8" w:tplc="040C0005" w:tentative="1">
      <w:start w:val="1"/>
      <w:numFmt w:val="bullet"/>
      <w:lvlText w:val=""/>
      <w:lvlJc w:val="left"/>
      <w:pPr>
        <w:ind w:left="9407" w:hanging="360"/>
      </w:pPr>
      <w:rPr>
        <w:rFonts w:ascii="Wingdings" w:hAnsi="Wingdings" w:hint="default"/>
      </w:rPr>
    </w:lvl>
  </w:abstractNum>
  <w:abstractNum w:abstractNumId="11">
    <w:nsid w:val="24E239C0"/>
    <w:multiLevelType w:val="hybridMultilevel"/>
    <w:tmpl w:val="3BA45F4E"/>
    <w:lvl w:ilvl="0" w:tplc="A484CA9C">
      <w:numFmt w:val="bullet"/>
      <w:lvlText w:val="-"/>
      <w:lvlJc w:val="left"/>
      <w:pPr>
        <w:ind w:left="5572" w:hanging="360"/>
      </w:pPr>
      <w:rPr>
        <w:rFonts w:ascii="Times New Roman" w:eastAsia="Times New Roman" w:hAnsi="Times New Roman" w:cs="Times New Roman" w:hint="default"/>
      </w:rPr>
    </w:lvl>
    <w:lvl w:ilvl="1" w:tplc="040C0003" w:tentative="1">
      <w:start w:val="1"/>
      <w:numFmt w:val="bullet"/>
      <w:lvlText w:val="o"/>
      <w:lvlJc w:val="left"/>
      <w:pPr>
        <w:ind w:left="6292" w:hanging="360"/>
      </w:pPr>
      <w:rPr>
        <w:rFonts w:ascii="Courier New" w:hAnsi="Courier New" w:cs="Courier New" w:hint="default"/>
      </w:rPr>
    </w:lvl>
    <w:lvl w:ilvl="2" w:tplc="040C0005" w:tentative="1">
      <w:start w:val="1"/>
      <w:numFmt w:val="bullet"/>
      <w:lvlText w:val=""/>
      <w:lvlJc w:val="left"/>
      <w:pPr>
        <w:ind w:left="7012" w:hanging="360"/>
      </w:pPr>
      <w:rPr>
        <w:rFonts w:ascii="Wingdings" w:hAnsi="Wingdings" w:hint="default"/>
      </w:rPr>
    </w:lvl>
    <w:lvl w:ilvl="3" w:tplc="040C0001" w:tentative="1">
      <w:start w:val="1"/>
      <w:numFmt w:val="bullet"/>
      <w:lvlText w:val=""/>
      <w:lvlJc w:val="left"/>
      <w:pPr>
        <w:ind w:left="7732" w:hanging="360"/>
      </w:pPr>
      <w:rPr>
        <w:rFonts w:ascii="Symbol" w:hAnsi="Symbol" w:hint="default"/>
      </w:rPr>
    </w:lvl>
    <w:lvl w:ilvl="4" w:tplc="040C0003" w:tentative="1">
      <w:start w:val="1"/>
      <w:numFmt w:val="bullet"/>
      <w:lvlText w:val="o"/>
      <w:lvlJc w:val="left"/>
      <w:pPr>
        <w:ind w:left="8452" w:hanging="360"/>
      </w:pPr>
      <w:rPr>
        <w:rFonts w:ascii="Courier New" w:hAnsi="Courier New" w:cs="Courier New" w:hint="default"/>
      </w:rPr>
    </w:lvl>
    <w:lvl w:ilvl="5" w:tplc="040C0005" w:tentative="1">
      <w:start w:val="1"/>
      <w:numFmt w:val="bullet"/>
      <w:lvlText w:val=""/>
      <w:lvlJc w:val="left"/>
      <w:pPr>
        <w:ind w:left="9172" w:hanging="360"/>
      </w:pPr>
      <w:rPr>
        <w:rFonts w:ascii="Wingdings" w:hAnsi="Wingdings" w:hint="default"/>
      </w:rPr>
    </w:lvl>
    <w:lvl w:ilvl="6" w:tplc="040C0001" w:tentative="1">
      <w:start w:val="1"/>
      <w:numFmt w:val="bullet"/>
      <w:lvlText w:val=""/>
      <w:lvlJc w:val="left"/>
      <w:pPr>
        <w:ind w:left="9892" w:hanging="360"/>
      </w:pPr>
      <w:rPr>
        <w:rFonts w:ascii="Symbol" w:hAnsi="Symbol" w:hint="default"/>
      </w:rPr>
    </w:lvl>
    <w:lvl w:ilvl="7" w:tplc="040C0003" w:tentative="1">
      <w:start w:val="1"/>
      <w:numFmt w:val="bullet"/>
      <w:lvlText w:val="o"/>
      <w:lvlJc w:val="left"/>
      <w:pPr>
        <w:ind w:left="10612" w:hanging="360"/>
      </w:pPr>
      <w:rPr>
        <w:rFonts w:ascii="Courier New" w:hAnsi="Courier New" w:cs="Courier New" w:hint="default"/>
      </w:rPr>
    </w:lvl>
    <w:lvl w:ilvl="8" w:tplc="040C0005" w:tentative="1">
      <w:start w:val="1"/>
      <w:numFmt w:val="bullet"/>
      <w:lvlText w:val=""/>
      <w:lvlJc w:val="left"/>
      <w:pPr>
        <w:ind w:left="11332" w:hanging="360"/>
      </w:pPr>
      <w:rPr>
        <w:rFonts w:ascii="Wingdings" w:hAnsi="Wingdings" w:hint="default"/>
      </w:rPr>
    </w:lvl>
  </w:abstractNum>
  <w:abstractNum w:abstractNumId="12">
    <w:nsid w:val="26A24E67"/>
    <w:multiLevelType w:val="singleLevel"/>
    <w:tmpl w:val="040C0001"/>
    <w:lvl w:ilvl="0">
      <w:start w:val="1"/>
      <w:numFmt w:val="bullet"/>
      <w:lvlText w:val=""/>
      <w:lvlJc w:val="left"/>
      <w:pPr>
        <w:ind w:left="720" w:hanging="360"/>
      </w:pPr>
      <w:rPr>
        <w:rFonts w:ascii="Symbol" w:hAnsi="Symbol" w:hint="default"/>
      </w:rPr>
    </w:lvl>
  </w:abstractNum>
  <w:abstractNum w:abstractNumId="13">
    <w:nsid w:val="26D61842"/>
    <w:multiLevelType w:val="singleLevel"/>
    <w:tmpl w:val="FFFFFFFF"/>
    <w:lvl w:ilvl="0">
      <w:start w:val="1"/>
      <w:numFmt w:val="bullet"/>
      <w:lvlText w:val=""/>
      <w:lvlJc w:val="left"/>
      <w:pPr>
        <w:ind w:left="720" w:hanging="360"/>
      </w:pPr>
      <w:rPr>
        <w:rFonts w:ascii="Wingdings" w:hAnsi="Wingdings" w:hint="default"/>
        <w:strike w:val="0"/>
        <w:dstrike w:val="0"/>
        <w:outline w:val="0"/>
        <w:shadow w:val="0"/>
        <w:emboss w:val="0"/>
        <w:imprint w:val="0"/>
        <w:vertAlign w:val="baseline"/>
      </w:rPr>
    </w:lvl>
  </w:abstractNum>
  <w:abstractNum w:abstractNumId="14">
    <w:nsid w:val="2B203491"/>
    <w:multiLevelType w:val="hybridMultilevel"/>
    <w:tmpl w:val="AB100916"/>
    <w:lvl w:ilvl="0" w:tplc="07EEB008">
      <w:start w:val="1"/>
      <w:numFmt w:val="decimal"/>
      <w:lvlText w:val="%1."/>
      <w:lvlJc w:val="left"/>
      <w:pPr>
        <w:ind w:left="4597" w:hanging="360"/>
      </w:pPr>
      <w:rPr>
        <w:rFonts w:hint="default"/>
      </w:rPr>
    </w:lvl>
    <w:lvl w:ilvl="1" w:tplc="040C0019" w:tentative="1">
      <w:start w:val="1"/>
      <w:numFmt w:val="lowerLetter"/>
      <w:lvlText w:val="%2."/>
      <w:lvlJc w:val="left"/>
      <w:pPr>
        <w:ind w:left="5317" w:hanging="360"/>
      </w:pPr>
    </w:lvl>
    <w:lvl w:ilvl="2" w:tplc="040C001B" w:tentative="1">
      <w:start w:val="1"/>
      <w:numFmt w:val="lowerRoman"/>
      <w:lvlText w:val="%3."/>
      <w:lvlJc w:val="right"/>
      <w:pPr>
        <w:ind w:left="6037" w:hanging="180"/>
      </w:pPr>
    </w:lvl>
    <w:lvl w:ilvl="3" w:tplc="040C000F" w:tentative="1">
      <w:start w:val="1"/>
      <w:numFmt w:val="decimal"/>
      <w:lvlText w:val="%4."/>
      <w:lvlJc w:val="left"/>
      <w:pPr>
        <w:ind w:left="6757" w:hanging="360"/>
      </w:pPr>
    </w:lvl>
    <w:lvl w:ilvl="4" w:tplc="040C0019" w:tentative="1">
      <w:start w:val="1"/>
      <w:numFmt w:val="lowerLetter"/>
      <w:lvlText w:val="%5."/>
      <w:lvlJc w:val="left"/>
      <w:pPr>
        <w:ind w:left="7477" w:hanging="360"/>
      </w:pPr>
    </w:lvl>
    <w:lvl w:ilvl="5" w:tplc="040C001B" w:tentative="1">
      <w:start w:val="1"/>
      <w:numFmt w:val="lowerRoman"/>
      <w:lvlText w:val="%6."/>
      <w:lvlJc w:val="right"/>
      <w:pPr>
        <w:ind w:left="8197" w:hanging="180"/>
      </w:pPr>
    </w:lvl>
    <w:lvl w:ilvl="6" w:tplc="040C000F" w:tentative="1">
      <w:start w:val="1"/>
      <w:numFmt w:val="decimal"/>
      <w:lvlText w:val="%7."/>
      <w:lvlJc w:val="left"/>
      <w:pPr>
        <w:ind w:left="8917" w:hanging="360"/>
      </w:pPr>
    </w:lvl>
    <w:lvl w:ilvl="7" w:tplc="040C0019" w:tentative="1">
      <w:start w:val="1"/>
      <w:numFmt w:val="lowerLetter"/>
      <w:lvlText w:val="%8."/>
      <w:lvlJc w:val="left"/>
      <w:pPr>
        <w:ind w:left="9637" w:hanging="360"/>
      </w:pPr>
    </w:lvl>
    <w:lvl w:ilvl="8" w:tplc="040C001B" w:tentative="1">
      <w:start w:val="1"/>
      <w:numFmt w:val="lowerRoman"/>
      <w:lvlText w:val="%9."/>
      <w:lvlJc w:val="right"/>
      <w:pPr>
        <w:ind w:left="10357" w:hanging="180"/>
      </w:pPr>
    </w:lvl>
  </w:abstractNum>
  <w:abstractNum w:abstractNumId="15">
    <w:nsid w:val="2F9349A8"/>
    <w:multiLevelType w:val="hybridMultilevel"/>
    <w:tmpl w:val="E3667240"/>
    <w:lvl w:ilvl="0" w:tplc="040C0001">
      <w:start w:val="1"/>
      <w:numFmt w:val="bullet"/>
      <w:lvlText w:val=""/>
      <w:lvlJc w:val="left"/>
      <w:pPr>
        <w:ind w:left="3570" w:hanging="360"/>
      </w:pPr>
      <w:rPr>
        <w:rFonts w:ascii="Symbol" w:hAnsi="Symbol" w:hint="default"/>
      </w:rPr>
    </w:lvl>
    <w:lvl w:ilvl="1" w:tplc="040C0003" w:tentative="1">
      <w:start w:val="1"/>
      <w:numFmt w:val="bullet"/>
      <w:lvlText w:val="o"/>
      <w:lvlJc w:val="left"/>
      <w:pPr>
        <w:ind w:left="4290" w:hanging="360"/>
      </w:pPr>
      <w:rPr>
        <w:rFonts w:ascii="Courier New" w:hAnsi="Courier New" w:cs="Courier New" w:hint="default"/>
      </w:rPr>
    </w:lvl>
    <w:lvl w:ilvl="2" w:tplc="040C0005" w:tentative="1">
      <w:start w:val="1"/>
      <w:numFmt w:val="bullet"/>
      <w:lvlText w:val=""/>
      <w:lvlJc w:val="left"/>
      <w:pPr>
        <w:ind w:left="5010" w:hanging="360"/>
      </w:pPr>
      <w:rPr>
        <w:rFonts w:ascii="Wingdings" w:hAnsi="Wingdings" w:hint="default"/>
      </w:rPr>
    </w:lvl>
    <w:lvl w:ilvl="3" w:tplc="040C0001" w:tentative="1">
      <w:start w:val="1"/>
      <w:numFmt w:val="bullet"/>
      <w:lvlText w:val=""/>
      <w:lvlJc w:val="left"/>
      <w:pPr>
        <w:ind w:left="5730" w:hanging="360"/>
      </w:pPr>
      <w:rPr>
        <w:rFonts w:ascii="Symbol" w:hAnsi="Symbol" w:hint="default"/>
      </w:rPr>
    </w:lvl>
    <w:lvl w:ilvl="4" w:tplc="040C0003" w:tentative="1">
      <w:start w:val="1"/>
      <w:numFmt w:val="bullet"/>
      <w:lvlText w:val="o"/>
      <w:lvlJc w:val="left"/>
      <w:pPr>
        <w:ind w:left="6450" w:hanging="360"/>
      </w:pPr>
      <w:rPr>
        <w:rFonts w:ascii="Courier New" w:hAnsi="Courier New" w:cs="Courier New" w:hint="default"/>
      </w:rPr>
    </w:lvl>
    <w:lvl w:ilvl="5" w:tplc="040C0005" w:tentative="1">
      <w:start w:val="1"/>
      <w:numFmt w:val="bullet"/>
      <w:lvlText w:val=""/>
      <w:lvlJc w:val="left"/>
      <w:pPr>
        <w:ind w:left="7170" w:hanging="360"/>
      </w:pPr>
      <w:rPr>
        <w:rFonts w:ascii="Wingdings" w:hAnsi="Wingdings" w:hint="default"/>
      </w:rPr>
    </w:lvl>
    <w:lvl w:ilvl="6" w:tplc="040C0001" w:tentative="1">
      <w:start w:val="1"/>
      <w:numFmt w:val="bullet"/>
      <w:lvlText w:val=""/>
      <w:lvlJc w:val="left"/>
      <w:pPr>
        <w:ind w:left="7890" w:hanging="360"/>
      </w:pPr>
      <w:rPr>
        <w:rFonts w:ascii="Symbol" w:hAnsi="Symbol" w:hint="default"/>
      </w:rPr>
    </w:lvl>
    <w:lvl w:ilvl="7" w:tplc="040C0003" w:tentative="1">
      <w:start w:val="1"/>
      <w:numFmt w:val="bullet"/>
      <w:lvlText w:val="o"/>
      <w:lvlJc w:val="left"/>
      <w:pPr>
        <w:ind w:left="8610" w:hanging="360"/>
      </w:pPr>
      <w:rPr>
        <w:rFonts w:ascii="Courier New" w:hAnsi="Courier New" w:cs="Courier New" w:hint="default"/>
      </w:rPr>
    </w:lvl>
    <w:lvl w:ilvl="8" w:tplc="040C0005" w:tentative="1">
      <w:start w:val="1"/>
      <w:numFmt w:val="bullet"/>
      <w:lvlText w:val=""/>
      <w:lvlJc w:val="left"/>
      <w:pPr>
        <w:ind w:left="9330" w:hanging="360"/>
      </w:pPr>
      <w:rPr>
        <w:rFonts w:ascii="Wingdings" w:hAnsi="Wingdings" w:hint="default"/>
      </w:rPr>
    </w:lvl>
  </w:abstractNum>
  <w:abstractNum w:abstractNumId="16">
    <w:nsid w:val="34B82B4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nsid w:val="475D703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8">
    <w:nsid w:val="53DC722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56960027"/>
    <w:multiLevelType w:val="singleLevel"/>
    <w:tmpl w:val="040C0005"/>
    <w:lvl w:ilvl="0">
      <w:start w:val="1"/>
      <w:numFmt w:val="bullet"/>
      <w:lvlText w:val=""/>
      <w:lvlJc w:val="left"/>
      <w:pPr>
        <w:ind w:left="720" w:hanging="360"/>
      </w:pPr>
      <w:rPr>
        <w:rFonts w:ascii="Wingdings" w:hAnsi="Wingdings" w:hint="default"/>
      </w:rPr>
    </w:lvl>
  </w:abstractNum>
  <w:abstractNum w:abstractNumId="20">
    <w:nsid w:val="59A029CB"/>
    <w:multiLevelType w:val="hybridMultilevel"/>
    <w:tmpl w:val="D598A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9F01E5E"/>
    <w:multiLevelType w:val="hybridMultilevel"/>
    <w:tmpl w:val="5EFC8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F04D5E"/>
    <w:multiLevelType w:val="hybridMultilevel"/>
    <w:tmpl w:val="577CA1B8"/>
    <w:lvl w:ilvl="0" w:tplc="194CF598">
      <w:start w:val="1"/>
      <w:numFmt w:val="lowerLetter"/>
      <w:lvlText w:val="%1-"/>
      <w:lvlJc w:val="left"/>
      <w:pPr>
        <w:ind w:left="1680" w:hanging="360"/>
      </w:pPr>
      <w:rPr>
        <w:rFonts w:hint="default"/>
        <w:b/>
        <w:color w:val="0000FF"/>
        <w:sz w:val="24"/>
      </w:rPr>
    </w:lvl>
    <w:lvl w:ilvl="1" w:tplc="040C0019" w:tentative="1">
      <w:start w:val="1"/>
      <w:numFmt w:val="lowerLetter"/>
      <w:lvlText w:val="%2."/>
      <w:lvlJc w:val="left"/>
      <w:pPr>
        <w:ind w:left="2400" w:hanging="360"/>
      </w:pPr>
    </w:lvl>
    <w:lvl w:ilvl="2" w:tplc="040C001B" w:tentative="1">
      <w:start w:val="1"/>
      <w:numFmt w:val="lowerRoman"/>
      <w:lvlText w:val="%3."/>
      <w:lvlJc w:val="right"/>
      <w:pPr>
        <w:ind w:left="3120" w:hanging="180"/>
      </w:pPr>
    </w:lvl>
    <w:lvl w:ilvl="3" w:tplc="040C000F" w:tentative="1">
      <w:start w:val="1"/>
      <w:numFmt w:val="decimal"/>
      <w:lvlText w:val="%4."/>
      <w:lvlJc w:val="left"/>
      <w:pPr>
        <w:ind w:left="3840" w:hanging="360"/>
      </w:pPr>
    </w:lvl>
    <w:lvl w:ilvl="4" w:tplc="040C0019" w:tentative="1">
      <w:start w:val="1"/>
      <w:numFmt w:val="lowerLetter"/>
      <w:lvlText w:val="%5."/>
      <w:lvlJc w:val="left"/>
      <w:pPr>
        <w:ind w:left="4560" w:hanging="360"/>
      </w:pPr>
    </w:lvl>
    <w:lvl w:ilvl="5" w:tplc="040C001B" w:tentative="1">
      <w:start w:val="1"/>
      <w:numFmt w:val="lowerRoman"/>
      <w:lvlText w:val="%6."/>
      <w:lvlJc w:val="right"/>
      <w:pPr>
        <w:ind w:left="5280" w:hanging="180"/>
      </w:pPr>
    </w:lvl>
    <w:lvl w:ilvl="6" w:tplc="040C000F" w:tentative="1">
      <w:start w:val="1"/>
      <w:numFmt w:val="decimal"/>
      <w:lvlText w:val="%7."/>
      <w:lvlJc w:val="left"/>
      <w:pPr>
        <w:ind w:left="6000" w:hanging="360"/>
      </w:pPr>
    </w:lvl>
    <w:lvl w:ilvl="7" w:tplc="040C0019" w:tentative="1">
      <w:start w:val="1"/>
      <w:numFmt w:val="lowerLetter"/>
      <w:lvlText w:val="%8."/>
      <w:lvlJc w:val="left"/>
      <w:pPr>
        <w:ind w:left="6720" w:hanging="360"/>
      </w:pPr>
    </w:lvl>
    <w:lvl w:ilvl="8" w:tplc="040C001B" w:tentative="1">
      <w:start w:val="1"/>
      <w:numFmt w:val="lowerRoman"/>
      <w:lvlText w:val="%9."/>
      <w:lvlJc w:val="right"/>
      <w:pPr>
        <w:ind w:left="7440" w:hanging="180"/>
      </w:pPr>
    </w:lvl>
  </w:abstractNum>
  <w:abstractNum w:abstractNumId="23">
    <w:nsid w:val="604D327D"/>
    <w:multiLevelType w:val="hybridMultilevel"/>
    <w:tmpl w:val="1F488BC8"/>
    <w:lvl w:ilvl="0" w:tplc="040C000B">
      <w:start w:val="1"/>
      <w:numFmt w:val="bullet"/>
      <w:lvlText w:val=""/>
      <w:lvlJc w:val="left"/>
      <w:pPr>
        <w:ind w:left="1830" w:hanging="360"/>
      </w:pPr>
      <w:rPr>
        <w:rFonts w:ascii="Wingdings" w:hAnsi="Wingdings"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24">
    <w:nsid w:val="628D1216"/>
    <w:multiLevelType w:val="hybridMultilevel"/>
    <w:tmpl w:val="AD1C8CC6"/>
    <w:lvl w:ilvl="0" w:tplc="040C0005">
      <w:start w:val="1"/>
      <w:numFmt w:val="bullet"/>
      <w:lvlText w:val=""/>
      <w:lvlJc w:val="left"/>
      <w:pPr>
        <w:ind w:left="2480" w:hanging="360"/>
      </w:pPr>
      <w:rPr>
        <w:rFonts w:ascii="Wingdings" w:hAnsi="Wingdings"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25">
    <w:nsid w:val="72987175"/>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26">
    <w:nsid w:val="73584743"/>
    <w:multiLevelType w:val="hybridMultilevel"/>
    <w:tmpl w:val="85C44314"/>
    <w:lvl w:ilvl="0" w:tplc="F3744F6E">
      <w:start w:val="1"/>
      <w:numFmt w:val="decimal"/>
      <w:lvlText w:val="%1)"/>
      <w:lvlJc w:val="left"/>
      <w:pPr>
        <w:ind w:left="3365" w:hanging="360"/>
      </w:pPr>
      <w:rPr>
        <w:rFonts w:hint="default"/>
      </w:rPr>
    </w:lvl>
    <w:lvl w:ilvl="1" w:tplc="040C0019" w:tentative="1">
      <w:start w:val="1"/>
      <w:numFmt w:val="lowerLetter"/>
      <w:lvlText w:val="%2."/>
      <w:lvlJc w:val="left"/>
      <w:pPr>
        <w:ind w:left="4085" w:hanging="360"/>
      </w:pPr>
    </w:lvl>
    <w:lvl w:ilvl="2" w:tplc="040C001B" w:tentative="1">
      <w:start w:val="1"/>
      <w:numFmt w:val="lowerRoman"/>
      <w:lvlText w:val="%3."/>
      <w:lvlJc w:val="right"/>
      <w:pPr>
        <w:ind w:left="4805" w:hanging="180"/>
      </w:pPr>
    </w:lvl>
    <w:lvl w:ilvl="3" w:tplc="040C000F" w:tentative="1">
      <w:start w:val="1"/>
      <w:numFmt w:val="decimal"/>
      <w:lvlText w:val="%4."/>
      <w:lvlJc w:val="left"/>
      <w:pPr>
        <w:ind w:left="5525" w:hanging="360"/>
      </w:pPr>
    </w:lvl>
    <w:lvl w:ilvl="4" w:tplc="040C0019" w:tentative="1">
      <w:start w:val="1"/>
      <w:numFmt w:val="lowerLetter"/>
      <w:lvlText w:val="%5."/>
      <w:lvlJc w:val="left"/>
      <w:pPr>
        <w:ind w:left="6245" w:hanging="360"/>
      </w:pPr>
    </w:lvl>
    <w:lvl w:ilvl="5" w:tplc="040C001B" w:tentative="1">
      <w:start w:val="1"/>
      <w:numFmt w:val="lowerRoman"/>
      <w:lvlText w:val="%6."/>
      <w:lvlJc w:val="right"/>
      <w:pPr>
        <w:ind w:left="6965" w:hanging="180"/>
      </w:pPr>
    </w:lvl>
    <w:lvl w:ilvl="6" w:tplc="040C000F" w:tentative="1">
      <w:start w:val="1"/>
      <w:numFmt w:val="decimal"/>
      <w:lvlText w:val="%7."/>
      <w:lvlJc w:val="left"/>
      <w:pPr>
        <w:ind w:left="7685" w:hanging="360"/>
      </w:pPr>
    </w:lvl>
    <w:lvl w:ilvl="7" w:tplc="040C0019" w:tentative="1">
      <w:start w:val="1"/>
      <w:numFmt w:val="lowerLetter"/>
      <w:lvlText w:val="%8."/>
      <w:lvlJc w:val="left"/>
      <w:pPr>
        <w:ind w:left="8405" w:hanging="360"/>
      </w:pPr>
    </w:lvl>
    <w:lvl w:ilvl="8" w:tplc="040C001B" w:tentative="1">
      <w:start w:val="1"/>
      <w:numFmt w:val="lowerRoman"/>
      <w:lvlText w:val="%9."/>
      <w:lvlJc w:val="right"/>
      <w:pPr>
        <w:ind w:left="9125" w:hanging="180"/>
      </w:pPr>
    </w:lvl>
  </w:abstractNum>
  <w:abstractNum w:abstractNumId="27">
    <w:nsid w:val="7494199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7965765E"/>
    <w:multiLevelType w:val="hybridMultilevel"/>
    <w:tmpl w:val="48869424"/>
    <w:lvl w:ilvl="0" w:tplc="358477B2">
      <w:start w:val="1"/>
      <w:numFmt w:val="lowerLetter"/>
      <w:lvlText w:val="%1-"/>
      <w:lvlJc w:val="left"/>
      <w:pPr>
        <w:ind w:left="1470" w:hanging="360"/>
      </w:pPr>
      <w:rPr>
        <w:rFonts w:hint="default"/>
      </w:r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29">
    <w:nsid w:val="7B7C1D68"/>
    <w:multiLevelType w:val="singleLevel"/>
    <w:tmpl w:val="040C0005"/>
    <w:lvl w:ilvl="0">
      <w:start w:val="1"/>
      <w:numFmt w:val="bullet"/>
      <w:lvlText w:val=""/>
      <w:lvlJc w:val="left"/>
      <w:pPr>
        <w:ind w:left="720" w:hanging="360"/>
      </w:pPr>
      <w:rPr>
        <w:rFonts w:ascii="Wingdings" w:hAnsi="Wingdings" w:hint="default"/>
      </w:rPr>
    </w:lvl>
  </w:abstractNum>
  <w:abstractNum w:abstractNumId="30">
    <w:nsid w:val="7E9C6E7C"/>
    <w:multiLevelType w:val="hybridMultilevel"/>
    <w:tmpl w:val="EDF0BB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16"/>
  </w:num>
  <w:num w:numId="4">
    <w:abstractNumId w:val="19"/>
  </w:num>
  <w:num w:numId="5">
    <w:abstractNumId w:val="29"/>
  </w:num>
  <w:num w:numId="6">
    <w:abstractNumId w:val="2"/>
  </w:num>
  <w:num w:numId="7">
    <w:abstractNumId w:val="17"/>
  </w:num>
  <w:num w:numId="8">
    <w:abstractNumId w:val="13"/>
  </w:num>
  <w:num w:numId="9">
    <w:abstractNumId w:val="12"/>
  </w:num>
  <w:num w:numId="10">
    <w:abstractNumId w:val="5"/>
  </w:num>
  <w:num w:numId="11">
    <w:abstractNumId w:val="27"/>
  </w:num>
  <w:num w:numId="12">
    <w:abstractNumId w:val="9"/>
  </w:num>
  <w:num w:numId="13">
    <w:abstractNumId w:val="25"/>
  </w:num>
  <w:num w:numId="14">
    <w:abstractNumId w:val="4"/>
  </w:num>
  <w:num w:numId="15">
    <w:abstractNumId w:val="8"/>
  </w:num>
  <w:num w:numId="16">
    <w:abstractNumId w:val="20"/>
  </w:num>
  <w:num w:numId="17">
    <w:abstractNumId w:val="7"/>
  </w:num>
  <w:num w:numId="18">
    <w:abstractNumId w:val="23"/>
  </w:num>
  <w:num w:numId="19">
    <w:abstractNumId w:val="21"/>
  </w:num>
  <w:num w:numId="20">
    <w:abstractNumId w:val="15"/>
  </w:num>
  <w:num w:numId="21">
    <w:abstractNumId w:val="24"/>
  </w:num>
  <w:num w:numId="22">
    <w:abstractNumId w:val="26"/>
  </w:num>
  <w:num w:numId="23">
    <w:abstractNumId w:val="30"/>
  </w:num>
  <w:num w:numId="24">
    <w:abstractNumId w:val="22"/>
  </w:num>
  <w:num w:numId="25">
    <w:abstractNumId w:val="6"/>
  </w:num>
  <w:num w:numId="26">
    <w:abstractNumId w:val="11"/>
  </w:num>
  <w:num w:numId="27">
    <w:abstractNumId w:val="1"/>
  </w:num>
  <w:num w:numId="28">
    <w:abstractNumId w:val="3"/>
  </w:num>
  <w:num w:numId="29">
    <w:abstractNumId w:val="14"/>
  </w:num>
  <w:num w:numId="30">
    <w:abstractNumId w:val="10"/>
  </w:num>
  <w:num w:numId="31">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3D00CA"/>
    <w:rsid w:val="000006E9"/>
    <w:rsid w:val="00000777"/>
    <w:rsid w:val="0000098C"/>
    <w:rsid w:val="00000A90"/>
    <w:rsid w:val="00002669"/>
    <w:rsid w:val="00002B03"/>
    <w:rsid w:val="000031DB"/>
    <w:rsid w:val="00003ADC"/>
    <w:rsid w:val="00004771"/>
    <w:rsid w:val="00004965"/>
    <w:rsid w:val="00004A9D"/>
    <w:rsid w:val="00004D7A"/>
    <w:rsid w:val="00004E85"/>
    <w:rsid w:val="00005AA8"/>
    <w:rsid w:val="00005F02"/>
    <w:rsid w:val="00005FF5"/>
    <w:rsid w:val="000060A0"/>
    <w:rsid w:val="000068B8"/>
    <w:rsid w:val="00007052"/>
    <w:rsid w:val="0000709D"/>
    <w:rsid w:val="00007DFD"/>
    <w:rsid w:val="0001021B"/>
    <w:rsid w:val="00012140"/>
    <w:rsid w:val="00012214"/>
    <w:rsid w:val="00012D11"/>
    <w:rsid w:val="00013D6E"/>
    <w:rsid w:val="000140A2"/>
    <w:rsid w:val="000158FC"/>
    <w:rsid w:val="00016E62"/>
    <w:rsid w:val="000174D0"/>
    <w:rsid w:val="000174E9"/>
    <w:rsid w:val="000175C1"/>
    <w:rsid w:val="00017A93"/>
    <w:rsid w:val="00020042"/>
    <w:rsid w:val="00020631"/>
    <w:rsid w:val="00021E8F"/>
    <w:rsid w:val="00021F4C"/>
    <w:rsid w:val="00023521"/>
    <w:rsid w:val="000237F3"/>
    <w:rsid w:val="00023E1C"/>
    <w:rsid w:val="00024485"/>
    <w:rsid w:val="000245F0"/>
    <w:rsid w:val="00025C37"/>
    <w:rsid w:val="00025C47"/>
    <w:rsid w:val="000261EB"/>
    <w:rsid w:val="00027590"/>
    <w:rsid w:val="00027F47"/>
    <w:rsid w:val="0003185C"/>
    <w:rsid w:val="00031A2B"/>
    <w:rsid w:val="00031A65"/>
    <w:rsid w:val="00032961"/>
    <w:rsid w:val="00032977"/>
    <w:rsid w:val="000334EB"/>
    <w:rsid w:val="00033D28"/>
    <w:rsid w:val="000341FE"/>
    <w:rsid w:val="00034E91"/>
    <w:rsid w:val="000353DE"/>
    <w:rsid w:val="00036443"/>
    <w:rsid w:val="00036B83"/>
    <w:rsid w:val="000378DA"/>
    <w:rsid w:val="00037D30"/>
    <w:rsid w:val="00037D38"/>
    <w:rsid w:val="00040D85"/>
    <w:rsid w:val="00041297"/>
    <w:rsid w:val="0004190D"/>
    <w:rsid w:val="00041C34"/>
    <w:rsid w:val="000420D7"/>
    <w:rsid w:val="00042CF9"/>
    <w:rsid w:val="00043437"/>
    <w:rsid w:val="00043588"/>
    <w:rsid w:val="00045236"/>
    <w:rsid w:val="00045CA6"/>
    <w:rsid w:val="00045EEC"/>
    <w:rsid w:val="00046022"/>
    <w:rsid w:val="000464F8"/>
    <w:rsid w:val="000467B1"/>
    <w:rsid w:val="00046829"/>
    <w:rsid w:val="00046F6C"/>
    <w:rsid w:val="00047D3B"/>
    <w:rsid w:val="0005004E"/>
    <w:rsid w:val="000506C6"/>
    <w:rsid w:val="000506EF"/>
    <w:rsid w:val="00050DD5"/>
    <w:rsid w:val="00051B14"/>
    <w:rsid w:val="00051E17"/>
    <w:rsid w:val="0005234A"/>
    <w:rsid w:val="000527A0"/>
    <w:rsid w:val="000527D9"/>
    <w:rsid w:val="00052C5B"/>
    <w:rsid w:val="00052F1B"/>
    <w:rsid w:val="00053E6A"/>
    <w:rsid w:val="00054D4F"/>
    <w:rsid w:val="00054E70"/>
    <w:rsid w:val="000553E2"/>
    <w:rsid w:val="00055D20"/>
    <w:rsid w:val="00056059"/>
    <w:rsid w:val="0005617A"/>
    <w:rsid w:val="00056197"/>
    <w:rsid w:val="0005657B"/>
    <w:rsid w:val="00056B8E"/>
    <w:rsid w:val="00056CCF"/>
    <w:rsid w:val="00056F1C"/>
    <w:rsid w:val="00056FE0"/>
    <w:rsid w:val="00057448"/>
    <w:rsid w:val="0005775C"/>
    <w:rsid w:val="00057C49"/>
    <w:rsid w:val="00057FC2"/>
    <w:rsid w:val="00060593"/>
    <w:rsid w:val="00061070"/>
    <w:rsid w:val="000611D3"/>
    <w:rsid w:val="000611E2"/>
    <w:rsid w:val="0006169A"/>
    <w:rsid w:val="00061AEE"/>
    <w:rsid w:val="0006240F"/>
    <w:rsid w:val="0006244F"/>
    <w:rsid w:val="00062F5E"/>
    <w:rsid w:val="00064134"/>
    <w:rsid w:val="00064999"/>
    <w:rsid w:val="00064F94"/>
    <w:rsid w:val="000655BD"/>
    <w:rsid w:val="00065C8A"/>
    <w:rsid w:val="0006600F"/>
    <w:rsid w:val="00067B23"/>
    <w:rsid w:val="00067BB3"/>
    <w:rsid w:val="00067BB4"/>
    <w:rsid w:val="0007057C"/>
    <w:rsid w:val="00071684"/>
    <w:rsid w:val="000720F4"/>
    <w:rsid w:val="00072884"/>
    <w:rsid w:val="00073581"/>
    <w:rsid w:val="000736CC"/>
    <w:rsid w:val="00074304"/>
    <w:rsid w:val="000744D2"/>
    <w:rsid w:val="00074796"/>
    <w:rsid w:val="00074C6F"/>
    <w:rsid w:val="000750E9"/>
    <w:rsid w:val="000758FC"/>
    <w:rsid w:val="00075CF6"/>
    <w:rsid w:val="000761B9"/>
    <w:rsid w:val="00077092"/>
    <w:rsid w:val="00077328"/>
    <w:rsid w:val="0007775E"/>
    <w:rsid w:val="00077915"/>
    <w:rsid w:val="00080B79"/>
    <w:rsid w:val="00081048"/>
    <w:rsid w:val="0008147A"/>
    <w:rsid w:val="00081E78"/>
    <w:rsid w:val="00082636"/>
    <w:rsid w:val="00082BD8"/>
    <w:rsid w:val="00082FAF"/>
    <w:rsid w:val="00083466"/>
    <w:rsid w:val="0008370E"/>
    <w:rsid w:val="000837FC"/>
    <w:rsid w:val="0008411A"/>
    <w:rsid w:val="00084834"/>
    <w:rsid w:val="00084A92"/>
    <w:rsid w:val="00085427"/>
    <w:rsid w:val="00085FB0"/>
    <w:rsid w:val="00086A39"/>
    <w:rsid w:val="00086AEE"/>
    <w:rsid w:val="00086B13"/>
    <w:rsid w:val="00086D18"/>
    <w:rsid w:val="00087A64"/>
    <w:rsid w:val="0009077E"/>
    <w:rsid w:val="00090A89"/>
    <w:rsid w:val="00090E80"/>
    <w:rsid w:val="00091125"/>
    <w:rsid w:val="000913FB"/>
    <w:rsid w:val="000915AB"/>
    <w:rsid w:val="00092305"/>
    <w:rsid w:val="0009296D"/>
    <w:rsid w:val="00092C69"/>
    <w:rsid w:val="00093287"/>
    <w:rsid w:val="000932AB"/>
    <w:rsid w:val="000934D6"/>
    <w:rsid w:val="000935C4"/>
    <w:rsid w:val="00094FAD"/>
    <w:rsid w:val="000950F4"/>
    <w:rsid w:val="00095186"/>
    <w:rsid w:val="000965EF"/>
    <w:rsid w:val="00096A7E"/>
    <w:rsid w:val="00097861"/>
    <w:rsid w:val="000A040E"/>
    <w:rsid w:val="000A088B"/>
    <w:rsid w:val="000A10FB"/>
    <w:rsid w:val="000A12FB"/>
    <w:rsid w:val="000A14B8"/>
    <w:rsid w:val="000A1BA2"/>
    <w:rsid w:val="000A1EA8"/>
    <w:rsid w:val="000A205C"/>
    <w:rsid w:val="000A20A7"/>
    <w:rsid w:val="000A21F0"/>
    <w:rsid w:val="000A2ED7"/>
    <w:rsid w:val="000A3706"/>
    <w:rsid w:val="000A37EA"/>
    <w:rsid w:val="000A39DD"/>
    <w:rsid w:val="000A47E5"/>
    <w:rsid w:val="000A4A91"/>
    <w:rsid w:val="000A4AB7"/>
    <w:rsid w:val="000A4AEB"/>
    <w:rsid w:val="000A5393"/>
    <w:rsid w:val="000A54AC"/>
    <w:rsid w:val="000A56A2"/>
    <w:rsid w:val="000A6441"/>
    <w:rsid w:val="000A77D1"/>
    <w:rsid w:val="000A7B93"/>
    <w:rsid w:val="000A7FC5"/>
    <w:rsid w:val="000B04FE"/>
    <w:rsid w:val="000B059D"/>
    <w:rsid w:val="000B120C"/>
    <w:rsid w:val="000B19DC"/>
    <w:rsid w:val="000B2103"/>
    <w:rsid w:val="000B2715"/>
    <w:rsid w:val="000B27BB"/>
    <w:rsid w:val="000B3499"/>
    <w:rsid w:val="000B35BF"/>
    <w:rsid w:val="000B3E1F"/>
    <w:rsid w:val="000B3FC0"/>
    <w:rsid w:val="000B443D"/>
    <w:rsid w:val="000B44DE"/>
    <w:rsid w:val="000B4673"/>
    <w:rsid w:val="000B55C7"/>
    <w:rsid w:val="000B62C6"/>
    <w:rsid w:val="000B667B"/>
    <w:rsid w:val="000B67F4"/>
    <w:rsid w:val="000B6883"/>
    <w:rsid w:val="000B6A42"/>
    <w:rsid w:val="000B7AB1"/>
    <w:rsid w:val="000C0AE1"/>
    <w:rsid w:val="000C0B4A"/>
    <w:rsid w:val="000C0B6D"/>
    <w:rsid w:val="000C15D4"/>
    <w:rsid w:val="000C2A3A"/>
    <w:rsid w:val="000C2C98"/>
    <w:rsid w:val="000C3C20"/>
    <w:rsid w:val="000C3E0C"/>
    <w:rsid w:val="000C5613"/>
    <w:rsid w:val="000C681E"/>
    <w:rsid w:val="000C6DAC"/>
    <w:rsid w:val="000C7643"/>
    <w:rsid w:val="000C7817"/>
    <w:rsid w:val="000C7AA2"/>
    <w:rsid w:val="000C7FBC"/>
    <w:rsid w:val="000D0CFB"/>
    <w:rsid w:val="000D11BC"/>
    <w:rsid w:val="000D2260"/>
    <w:rsid w:val="000D3485"/>
    <w:rsid w:val="000D39C5"/>
    <w:rsid w:val="000D3E8E"/>
    <w:rsid w:val="000D4688"/>
    <w:rsid w:val="000D537E"/>
    <w:rsid w:val="000D54C9"/>
    <w:rsid w:val="000D6C70"/>
    <w:rsid w:val="000D6D2C"/>
    <w:rsid w:val="000D76C4"/>
    <w:rsid w:val="000E03E5"/>
    <w:rsid w:val="000E0BB4"/>
    <w:rsid w:val="000E1AF1"/>
    <w:rsid w:val="000E1D10"/>
    <w:rsid w:val="000E2D8F"/>
    <w:rsid w:val="000E2F49"/>
    <w:rsid w:val="000E306B"/>
    <w:rsid w:val="000E3678"/>
    <w:rsid w:val="000E38E0"/>
    <w:rsid w:val="000E3ADF"/>
    <w:rsid w:val="000E3BC8"/>
    <w:rsid w:val="000E3E6A"/>
    <w:rsid w:val="000E3F31"/>
    <w:rsid w:val="000E40E6"/>
    <w:rsid w:val="000E4664"/>
    <w:rsid w:val="000E493D"/>
    <w:rsid w:val="000E4B7A"/>
    <w:rsid w:val="000E4C39"/>
    <w:rsid w:val="000E4F4A"/>
    <w:rsid w:val="000E5509"/>
    <w:rsid w:val="000E557F"/>
    <w:rsid w:val="000E5AED"/>
    <w:rsid w:val="000E5DC9"/>
    <w:rsid w:val="000E6030"/>
    <w:rsid w:val="000E62E1"/>
    <w:rsid w:val="000E7754"/>
    <w:rsid w:val="000E7C81"/>
    <w:rsid w:val="000F0B89"/>
    <w:rsid w:val="000F0C9A"/>
    <w:rsid w:val="000F0F77"/>
    <w:rsid w:val="000F11D9"/>
    <w:rsid w:val="000F1510"/>
    <w:rsid w:val="000F281C"/>
    <w:rsid w:val="000F29D1"/>
    <w:rsid w:val="000F2C69"/>
    <w:rsid w:val="000F3385"/>
    <w:rsid w:val="000F39DC"/>
    <w:rsid w:val="000F3A9E"/>
    <w:rsid w:val="000F5071"/>
    <w:rsid w:val="000F5A50"/>
    <w:rsid w:val="000F65E7"/>
    <w:rsid w:val="000F702A"/>
    <w:rsid w:val="000F747C"/>
    <w:rsid w:val="000F7B05"/>
    <w:rsid w:val="001007E7"/>
    <w:rsid w:val="001011B7"/>
    <w:rsid w:val="00101485"/>
    <w:rsid w:val="0010148D"/>
    <w:rsid w:val="00101EF4"/>
    <w:rsid w:val="0010242F"/>
    <w:rsid w:val="00103635"/>
    <w:rsid w:val="001052F3"/>
    <w:rsid w:val="00105428"/>
    <w:rsid w:val="0010579A"/>
    <w:rsid w:val="001060F8"/>
    <w:rsid w:val="00106175"/>
    <w:rsid w:val="00106207"/>
    <w:rsid w:val="0011064D"/>
    <w:rsid w:val="0011077C"/>
    <w:rsid w:val="00110D97"/>
    <w:rsid w:val="00110F71"/>
    <w:rsid w:val="001111CA"/>
    <w:rsid w:val="00111425"/>
    <w:rsid w:val="0011142F"/>
    <w:rsid w:val="00111AE1"/>
    <w:rsid w:val="00111C7B"/>
    <w:rsid w:val="00112646"/>
    <w:rsid w:val="00112809"/>
    <w:rsid w:val="00112FB1"/>
    <w:rsid w:val="001131CE"/>
    <w:rsid w:val="001136C1"/>
    <w:rsid w:val="00113CFA"/>
    <w:rsid w:val="00114C92"/>
    <w:rsid w:val="00114E74"/>
    <w:rsid w:val="00115EDC"/>
    <w:rsid w:val="00117BD9"/>
    <w:rsid w:val="0012073A"/>
    <w:rsid w:val="0012093C"/>
    <w:rsid w:val="00120B19"/>
    <w:rsid w:val="00121591"/>
    <w:rsid w:val="0012159D"/>
    <w:rsid w:val="00121F7E"/>
    <w:rsid w:val="0012210A"/>
    <w:rsid w:val="00122B7F"/>
    <w:rsid w:val="00123067"/>
    <w:rsid w:val="00123694"/>
    <w:rsid w:val="00124A7A"/>
    <w:rsid w:val="001250B2"/>
    <w:rsid w:val="00125835"/>
    <w:rsid w:val="00125FE7"/>
    <w:rsid w:val="001260E5"/>
    <w:rsid w:val="00126F54"/>
    <w:rsid w:val="001274DA"/>
    <w:rsid w:val="00130A21"/>
    <w:rsid w:val="00130A62"/>
    <w:rsid w:val="00131617"/>
    <w:rsid w:val="00131866"/>
    <w:rsid w:val="001318AC"/>
    <w:rsid w:val="0013214A"/>
    <w:rsid w:val="0013325D"/>
    <w:rsid w:val="00134B32"/>
    <w:rsid w:val="001354EF"/>
    <w:rsid w:val="00135CBC"/>
    <w:rsid w:val="00136077"/>
    <w:rsid w:val="001365EA"/>
    <w:rsid w:val="00136885"/>
    <w:rsid w:val="00136FA5"/>
    <w:rsid w:val="001373E8"/>
    <w:rsid w:val="0013786E"/>
    <w:rsid w:val="00137C6B"/>
    <w:rsid w:val="00137D73"/>
    <w:rsid w:val="001401B6"/>
    <w:rsid w:val="0014020F"/>
    <w:rsid w:val="00140AAC"/>
    <w:rsid w:val="00141905"/>
    <w:rsid w:val="001434D9"/>
    <w:rsid w:val="00143C88"/>
    <w:rsid w:val="00144108"/>
    <w:rsid w:val="0014463B"/>
    <w:rsid w:val="0014556D"/>
    <w:rsid w:val="001458BE"/>
    <w:rsid w:val="00145E45"/>
    <w:rsid w:val="00146D86"/>
    <w:rsid w:val="00147F9B"/>
    <w:rsid w:val="00150C44"/>
    <w:rsid w:val="00150E0E"/>
    <w:rsid w:val="00151662"/>
    <w:rsid w:val="001518DD"/>
    <w:rsid w:val="00152184"/>
    <w:rsid w:val="00152646"/>
    <w:rsid w:val="00153168"/>
    <w:rsid w:val="00153795"/>
    <w:rsid w:val="00153DAE"/>
    <w:rsid w:val="001552F9"/>
    <w:rsid w:val="00155AAD"/>
    <w:rsid w:val="00156493"/>
    <w:rsid w:val="00156976"/>
    <w:rsid w:val="00156A4E"/>
    <w:rsid w:val="00156D71"/>
    <w:rsid w:val="00157BC0"/>
    <w:rsid w:val="00157EEA"/>
    <w:rsid w:val="00162A8D"/>
    <w:rsid w:val="00163FDC"/>
    <w:rsid w:val="00164904"/>
    <w:rsid w:val="001653C3"/>
    <w:rsid w:val="001655C7"/>
    <w:rsid w:val="00165D50"/>
    <w:rsid w:val="0016628D"/>
    <w:rsid w:val="001664BD"/>
    <w:rsid w:val="001664E9"/>
    <w:rsid w:val="00166C81"/>
    <w:rsid w:val="00167630"/>
    <w:rsid w:val="00167AA7"/>
    <w:rsid w:val="00167B33"/>
    <w:rsid w:val="00170978"/>
    <w:rsid w:val="00170F0E"/>
    <w:rsid w:val="001710EF"/>
    <w:rsid w:val="00171469"/>
    <w:rsid w:val="0017197B"/>
    <w:rsid w:val="00172873"/>
    <w:rsid w:val="00172FEA"/>
    <w:rsid w:val="0017342A"/>
    <w:rsid w:val="00173E1D"/>
    <w:rsid w:val="00173E4A"/>
    <w:rsid w:val="00173EBE"/>
    <w:rsid w:val="001749ED"/>
    <w:rsid w:val="00174AA1"/>
    <w:rsid w:val="0017549D"/>
    <w:rsid w:val="00175722"/>
    <w:rsid w:val="00176459"/>
    <w:rsid w:val="001801F8"/>
    <w:rsid w:val="00180739"/>
    <w:rsid w:val="00181308"/>
    <w:rsid w:val="001821E7"/>
    <w:rsid w:val="0018227D"/>
    <w:rsid w:val="00182B91"/>
    <w:rsid w:val="0018360D"/>
    <w:rsid w:val="00183A33"/>
    <w:rsid w:val="0018586B"/>
    <w:rsid w:val="00185C25"/>
    <w:rsid w:val="00185E6F"/>
    <w:rsid w:val="00185F35"/>
    <w:rsid w:val="0018697E"/>
    <w:rsid w:val="00186D49"/>
    <w:rsid w:val="001876D4"/>
    <w:rsid w:val="00187C83"/>
    <w:rsid w:val="00187DFB"/>
    <w:rsid w:val="00190655"/>
    <w:rsid w:val="00190E83"/>
    <w:rsid w:val="00191518"/>
    <w:rsid w:val="001917B2"/>
    <w:rsid w:val="00192DA3"/>
    <w:rsid w:val="00192F19"/>
    <w:rsid w:val="00193209"/>
    <w:rsid w:val="00193415"/>
    <w:rsid w:val="00193473"/>
    <w:rsid w:val="00193A2F"/>
    <w:rsid w:val="0019458E"/>
    <w:rsid w:val="0019491A"/>
    <w:rsid w:val="00194B89"/>
    <w:rsid w:val="00194DC8"/>
    <w:rsid w:val="00194E30"/>
    <w:rsid w:val="00195045"/>
    <w:rsid w:val="00195503"/>
    <w:rsid w:val="00195C36"/>
    <w:rsid w:val="001966DE"/>
    <w:rsid w:val="00197260"/>
    <w:rsid w:val="00197391"/>
    <w:rsid w:val="001977D7"/>
    <w:rsid w:val="001A04D1"/>
    <w:rsid w:val="001A0522"/>
    <w:rsid w:val="001A0DB0"/>
    <w:rsid w:val="001A0F5D"/>
    <w:rsid w:val="001A111E"/>
    <w:rsid w:val="001A1142"/>
    <w:rsid w:val="001A19F9"/>
    <w:rsid w:val="001A1C2D"/>
    <w:rsid w:val="001A2134"/>
    <w:rsid w:val="001A21FE"/>
    <w:rsid w:val="001A2275"/>
    <w:rsid w:val="001A2358"/>
    <w:rsid w:val="001A2DBA"/>
    <w:rsid w:val="001A32C4"/>
    <w:rsid w:val="001A497B"/>
    <w:rsid w:val="001A52FB"/>
    <w:rsid w:val="001A56A0"/>
    <w:rsid w:val="001A5726"/>
    <w:rsid w:val="001A5904"/>
    <w:rsid w:val="001A5A8A"/>
    <w:rsid w:val="001A5C40"/>
    <w:rsid w:val="001A6EF4"/>
    <w:rsid w:val="001A6F3A"/>
    <w:rsid w:val="001A713A"/>
    <w:rsid w:val="001A71C9"/>
    <w:rsid w:val="001A72B8"/>
    <w:rsid w:val="001A76CB"/>
    <w:rsid w:val="001A7738"/>
    <w:rsid w:val="001B0BF2"/>
    <w:rsid w:val="001B13D7"/>
    <w:rsid w:val="001B173E"/>
    <w:rsid w:val="001B1A71"/>
    <w:rsid w:val="001B1ACD"/>
    <w:rsid w:val="001B21A8"/>
    <w:rsid w:val="001B2B0A"/>
    <w:rsid w:val="001B31FF"/>
    <w:rsid w:val="001B333C"/>
    <w:rsid w:val="001B3561"/>
    <w:rsid w:val="001B3835"/>
    <w:rsid w:val="001B3A7D"/>
    <w:rsid w:val="001B3D37"/>
    <w:rsid w:val="001B3F7A"/>
    <w:rsid w:val="001B41AC"/>
    <w:rsid w:val="001B4CF8"/>
    <w:rsid w:val="001B60E2"/>
    <w:rsid w:val="001B6965"/>
    <w:rsid w:val="001B7722"/>
    <w:rsid w:val="001C123A"/>
    <w:rsid w:val="001C19FF"/>
    <w:rsid w:val="001C1F10"/>
    <w:rsid w:val="001C242C"/>
    <w:rsid w:val="001C2B3B"/>
    <w:rsid w:val="001C3728"/>
    <w:rsid w:val="001C37FA"/>
    <w:rsid w:val="001C3C79"/>
    <w:rsid w:val="001C4438"/>
    <w:rsid w:val="001C4739"/>
    <w:rsid w:val="001C62F5"/>
    <w:rsid w:val="001C6902"/>
    <w:rsid w:val="001C7990"/>
    <w:rsid w:val="001D03B0"/>
    <w:rsid w:val="001D0D54"/>
    <w:rsid w:val="001D17CB"/>
    <w:rsid w:val="001D1BA3"/>
    <w:rsid w:val="001D1D8F"/>
    <w:rsid w:val="001D22F0"/>
    <w:rsid w:val="001D3248"/>
    <w:rsid w:val="001D3710"/>
    <w:rsid w:val="001D3B43"/>
    <w:rsid w:val="001D4694"/>
    <w:rsid w:val="001D474B"/>
    <w:rsid w:val="001D47E0"/>
    <w:rsid w:val="001D4C12"/>
    <w:rsid w:val="001D4CD3"/>
    <w:rsid w:val="001D55F3"/>
    <w:rsid w:val="001D597A"/>
    <w:rsid w:val="001D5B36"/>
    <w:rsid w:val="001D5ECB"/>
    <w:rsid w:val="001D6122"/>
    <w:rsid w:val="001D6171"/>
    <w:rsid w:val="001D69FF"/>
    <w:rsid w:val="001D73B1"/>
    <w:rsid w:val="001D752B"/>
    <w:rsid w:val="001E102E"/>
    <w:rsid w:val="001E31AC"/>
    <w:rsid w:val="001E31D7"/>
    <w:rsid w:val="001E3290"/>
    <w:rsid w:val="001E4FF5"/>
    <w:rsid w:val="001E52AF"/>
    <w:rsid w:val="001E58EB"/>
    <w:rsid w:val="001E5ADE"/>
    <w:rsid w:val="001E6294"/>
    <w:rsid w:val="001E64F6"/>
    <w:rsid w:val="001E6EB0"/>
    <w:rsid w:val="001E7349"/>
    <w:rsid w:val="001E758D"/>
    <w:rsid w:val="001E7907"/>
    <w:rsid w:val="001E7A0A"/>
    <w:rsid w:val="001F048E"/>
    <w:rsid w:val="001F04FF"/>
    <w:rsid w:val="001F2C27"/>
    <w:rsid w:val="001F33BF"/>
    <w:rsid w:val="001F37C1"/>
    <w:rsid w:val="001F42C1"/>
    <w:rsid w:val="001F6A77"/>
    <w:rsid w:val="001F6DB5"/>
    <w:rsid w:val="001F6F77"/>
    <w:rsid w:val="001F70FF"/>
    <w:rsid w:val="001F789F"/>
    <w:rsid w:val="001F7BFC"/>
    <w:rsid w:val="001F7EA3"/>
    <w:rsid w:val="0020042E"/>
    <w:rsid w:val="0020102E"/>
    <w:rsid w:val="00201167"/>
    <w:rsid w:val="00201F66"/>
    <w:rsid w:val="0020233E"/>
    <w:rsid w:val="00203DCE"/>
    <w:rsid w:val="00205263"/>
    <w:rsid w:val="0020532C"/>
    <w:rsid w:val="0020553A"/>
    <w:rsid w:val="002068AD"/>
    <w:rsid w:val="00207301"/>
    <w:rsid w:val="0021038F"/>
    <w:rsid w:val="0021065D"/>
    <w:rsid w:val="0021074C"/>
    <w:rsid w:val="002109DF"/>
    <w:rsid w:val="00211024"/>
    <w:rsid w:val="00211A07"/>
    <w:rsid w:val="002121C8"/>
    <w:rsid w:val="00212586"/>
    <w:rsid w:val="002125B8"/>
    <w:rsid w:val="00212962"/>
    <w:rsid w:val="00212A0E"/>
    <w:rsid w:val="00212BF0"/>
    <w:rsid w:val="00212E5A"/>
    <w:rsid w:val="002133F0"/>
    <w:rsid w:val="00213EBB"/>
    <w:rsid w:val="0021464E"/>
    <w:rsid w:val="002148AC"/>
    <w:rsid w:val="002149FA"/>
    <w:rsid w:val="00215112"/>
    <w:rsid w:val="00215FF8"/>
    <w:rsid w:val="00216133"/>
    <w:rsid w:val="00216703"/>
    <w:rsid w:val="0021727A"/>
    <w:rsid w:val="00217A33"/>
    <w:rsid w:val="00217AA8"/>
    <w:rsid w:val="00217D65"/>
    <w:rsid w:val="00220322"/>
    <w:rsid w:val="0022149D"/>
    <w:rsid w:val="002217D0"/>
    <w:rsid w:val="002219D2"/>
    <w:rsid w:val="00221F94"/>
    <w:rsid w:val="0022222F"/>
    <w:rsid w:val="002225DE"/>
    <w:rsid w:val="002229BF"/>
    <w:rsid w:val="00222CBA"/>
    <w:rsid w:val="00223100"/>
    <w:rsid w:val="002234C0"/>
    <w:rsid w:val="00223644"/>
    <w:rsid w:val="0022408D"/>
    <w:rsid w:val="002241DB"/>
    <w:rsid w:val="002244F9"/>
    <w:rsid w:val="0022462F"/>
    <w:rsid w:val="002247CA"/>
    <w:rsid w:val="00224BAF"/>
    <w:rsid w:val="00225131"/>
    <w:rsid w:val="00225754"/>
    <w:rsid w:val="00225CB1"/>
    <w:rsid w:val="00225FFC"/>
    <w:rsid w:val="00226BD9"/>
    <w:rsid w:val="00226E8D"/>
    <w:rsid w:val="00227056"/>
    <w:rsid w:val="002272AE"/>
    <w:rsid w:val="002300FF"/>
    <w:rsid w:val="0023050D"/>
    <w:rsid w:val="00230E6E"/>
    <w:rsid w:val="0023266F"/>
    <w:rsid w:val="002346B0"/>
    <w:rsid w:val="00234D12"/>
    <w:rsid w:val="00235044"/>
    <w:rsid w:val="002350A0"/>
    <w:rsid w:val="0023526C"/>
    <w:rsid w:val="00235749"/>
    <w:rsid w:val="00235D81"/>
    <w:rsid w:val="002370E5"/>
    <w:rsid w:val="00237449"/>
    <w:rsid w:val="00237695"/>
    <w:rsid w:val="00237EA4"/>
    <w:rsid w:val="002401EA"/>
    <w:rsid w:val="00240A10"/>
    <w:rsid w:val="00240F76"/>
    <w:rsid w:val="00241810"/>
    <w:rsid w:val="00241F68"/>
    <w:rsid w:val="00242E58"/>
    <w:rsid w:val="002436DC"/>
    <w:rsid w:val="00243794"/>
    <w:rsid w:val="00244225"/>
    <w:rsid w:val="00244AF9"/>
    <w:rsid w:val="00245B3D"/>
    <w:rsid w:val="002464CC"/>
    <w:rsid w:val="0024652C"/>
    <w:rsid w:val="002478E8"/>
    <w:rsid w:val="00247D11"/>
    <w:rsid w:val="00250A62"/>
    <w:rsid w:val="00251B94"/>
    <w:rsid w:val="00251F15"/>
    <w:rsid w:val="00252248"/>
    <w:rsid w:val="002525B6"/>
    <w:rsid w:val="0025316D"/>
    <w:rsid w:val="002551F3"/>
    <w:rsid w:val="002556C0"/>
    <w:rsid w:val="00255790"/>
    <w:rsid w:val="00256B41"/>
    <w:rsid w:val="00256CB6"/>
    <w:rsid w:val="0025709D"/>
    <w:rsid w:val="00257A93"/>
    <w:rsid w:val="00257AFB"/>
    <w:rsid w:val="0026055F"/>
    <w:rsid w:val="002606FE"/>
    <w:rsid w:val="0026070B"/>
    <w:rsid w:val="00260D1E"/>
    <w:rsid w:val="00261131"/>
    <w:rsid w:val="00261A6E"/>
    <w:rsid w:val="00263206"/>
    <w:rsid w:val="0026365B"/>
    <w:rsid w:val="00263B21"/>
    <w:rsid w:val="00264478"/>
    <w:rsid w:val="002647B1"/>
    <w:rsid w:val="002647F2"/>
    <w:rsid w:val="002649B5"/>
    <w:rsid w:val="00264F5B"/>
    <w:rsid w:val="0026530C"/>
    <w:rsid w:val="002655DF"/>
    <w:rsid w:val="0026609E"/>
    <w:rsid w:val="00266737"/>
    <w:rsid w:val="00266808"/>
    <w:rsid w:val="002674FF"/>
    <w:rsid w:val="002700EC"/>
    <w:rsid w:val="00270DDF"/>
    <w:rsid w:val="00271496"/>
    <w:rsid w:val="002714FE"/>
    <w:rsid w:val="00272944"/>
    <w:rsid w:val="00272ADD"/>
    <w:rsid w:val="00272B2B"/>
    <w:rsid w:val="00273C7A"/>
    <w:rsid w:val="00273F69"/>
    <w:rsid w:val="00274B86"/>
    <w:rsid w:val="00274DC7"/>
    <w:rsid w:val="00274FCC"/>
    <w:rsid w:val="0027500C"/>
    <w:rsid w:val="00275BAD"/>
    <w:rsid w:val="00276432"/>
    <w:rsid w:val="00276744"/>
    <w:rsid w:val="00276B9D"/>
    <w:rsid w:val="002773D5"/>
    <w:rsid w:val="00280386"/>
    <w:rsid w:val="00280551"/>
    <w:rsid w:val="0028094D"/>
    <w:rsid w:val="00280C83"/>
    <w:rsid w:val="00280CD5"/>
    <w:rsid w:val="002810DB"/>
    <w:rsid w:val="0028139A"/>
    <w:rsid w:val="00281760"/>
    <w:rsid w:val="00282D72"/>
    <w:rsid w:val="00283196"/>
    <w:rsid w:val="00283E62"/>
    <w:rsid w:val="002841AA"/>
    <w:rsid w:val="00284741"/>
    <w:rsid w:val="00284917"/>
    <w:rsid w:val="002849C2"/>
    <w:rsid w:val="00286379"/>
    <w:rsid w:val="00286577"/>
    <w:rsid w:val="002865ED"/>
    <w:rsid w:val="00286EAD"/>
    <w:rsid w:val="0028784A"/>
    <w:rsid w:val="00287D00"/>
    <w:rsid w:val="00287DED"/>
    <w:rsid w:val="002900DD"/>
    <w:rsid w:val="00290216"/>
    <w:rsid w:val="00291025"/>
    <w:rsid w:val="00291174"/>
    <w:rsid w:val="00291F51"/>
    <w:rsid w:val="00293188"/>
    <w:rsid w:val="0029335D"/>
    <w:rsid w:val="00293595"/>
    <w:rsid w:val="0029368F"/>
    <w:rsid w:val="00293CE1"/>
    <w:rsid w:val="00293F18"/>
    <w:rsid w:val="00293F85"/>
    <w:rsid w:val="002941E2"/>
    <w:rsid w:val="0029460F"/>
    <w:rsid w:val="0029698F"/>
    <w:rsid w:val="00297851"/>
    <w:rsid w:val="0029790F"/>
    <w:rsid w:val="002A0330"/>
    <w:rsid w:val="002A0520"/>
    <w:rsid w:val="002A2049"/>
    <w:rsid w:val="002A2219"/>
    <w:rsid w:val="002A3381"/>
    <w:rsid w:val="002A3904"/>
    <w:rsid w:val="002A3F14"/>
    <w:rsid w:val="002A466F"/>
    <w:rsid w:val="002A4886"/>
    <w:rsid w:val="002A4B48"/>
    <w:rsid w:val="002A53B8"/>
    <w:rsid w:val="002A73A9"/>
    <w:rsid w:val="002A7DC4"/>
    <w:rsid w:val="002B0640"/>
    <w:rsid w:val="002B139B"/>
    <w:rsid w:val="002B148A"/>
    <w:rsid w:val="002B1746"/>
    <w:rsid w:val="002B1855"/>
    <w:rsid w:val="002B1D6F"/>
    <w:rsid w:val="002B2092"/>
    <w:rsid w:val="002B3404"/>
    <w:rsid w:val="002B3790"/>
    <w:rsid w:val="002B4018"/>
    <w:rsid w:val="002B4BDA"/>
    <w:rsid w:val="002B4D31"/>
    <w:rsid w:val="002B5050"/>
    <w:rsid w:val="002B623C"/>
    <w:rsid w:val="002B7019"/>
    <w:rsid w:val="002B7034"/>
    <w:rsid w:val="002B726E"/>
    <w:rsid w:val="002B77D4"/>
    <w:rsid w:val="002B7ACA"/>
    <w:rsid w:val="002B7B1C"/>
    <w:rsid w:val="002B7BE1"/>
    <w:rsid w:val="002C028F"/>
    <w:rsid w:val="002C03F1"/>
    <w:rsid w:val="002C0A44"/>
    <w:rsid w:val="002C1175"/>
    <w:rsid w:val="002C2854"/>
    <w:rsid w:val="002C2C77"/>
    <w:rsid w:val="002C4132"/>
    <w:rsid w:val="002C4286"/>
    <w:rsid w:val="002C444A"/>
    <w:rsid w:val="002C45AE"/>
    <w:rsid w:val="002C524A"/>
    <w:rsid w:val="002C547C"/>
    <w:rsid w:val="002C5A70"/>
    <w:rsid w:val="002C7372"/>
    <w:rsid w:val="002D0539"/>
    <w:rsid w:val="002D0786"/>
    <w:rsid w:val="002D17FC"/>
    <w:rsid w:val="002D181E"/>
    <w:rsid w:val="002D20DA"/>
    <w:rsid w:val="002D2113"/>
    <w:rsid w:val="002D28A0"/>
    <w:rsid w:val="002D2EF7"/>
    <w:rsid w:val="002D34DD"/>
    <w:rsid w:val="002D3515"/>
    <w:rsid w:val="002D3BE5"/>
    <w:rsid w:val="002D434E"/>
    <w:rsid w:val="002D4837"/>
    <w:rsid w:val="002D484C"/>
    <w:rsid w:val="002D4E6F"/>
    <w:rsid w:val="002D50F6"/>
    <w:rsid w:val="002D5E9D"/>
    <w:rsid w:val="002D671B"/>
    <w:rsid w:val="002D6AD7"/>
    <w:rsid w:val="002D6EDA"/>
    <w:rsid w:val="002D728B"/>
    <w:rsid w:val="002D79B2"/>
    <w:rsid w:val="002E0427"/>
    <w:rsid w:val="002E0E5C"/>
    <w:rsid w:val="002E1307"/>
    <w:rsid w:val="002E1E93"/>
    <w:rsid w:val="002E28C9"/>
    <w:rsid w:val="002E41DF"/>
    <w:rsid w:val="002E4E7B"/>
    <w:rsid w:val="002E602D"/>
    <w:rsid w:val="002E695A"/>
    <w:rsid w:val="002E6B4A"/>
    <w:rsid w:val="002E7223"/>
    <w:rsid w:val="002E734C"/>
    <w:rsid w:val="002E78A7"/>
    <w:rsid w:val="002E7C76"/>
    <w:rsid w:val="002F0EE9"/>
    <w:rsid w:val="002F144B"/>
    <w:rsid w:val="002F1E88"/>
    <w:rsid w:val="002F1EEA"/>
    <w:rsid w:val="002F25C0"/>
    <w:rsid w:val="002F27D4"/>
    <w:rsid w:val="002F2938"/>
    <w:rsid w:val="002F295F"/>
    <w:rsid w:val="002F465C"/>
    <w:rsid w:val="002F5460"/>
    <w:rsid w:val="002F58BA"/>
    <w:rsid w:val="002F59B1"/>
    <w:rsid w:val="002F5D49"/>
    <w:rsid w:val="002F61E2"/>
    <w:rsid w:val="002F6652"/>
    <w:rsid w:val="002F6763"/>
    <w:rsid w:val="002F73EA"/>
    <w:rsid w:val="002F7B0D"/>
    <w:rsid w:val="002F7DA6"/>
    <w:rsid w:val="002F7F20"/>
    <w:rsid w:val="003004AD"/>
    <w:rsid w:val="00300D7A"/>
    <w:rsid w:val="00301170"/>
    <w:rsid w:val="003019AB"/>
    <w:rsid w:val="00302222"/>
    <w:rsid w:val="00302A94"/>
    <w:rsid w:val="00303939"/>
    <w:rsid w:val="00303D28"/>
    <w:rsid w:val="00304720"/>
    <w:rsid w:val="00304C26"/>
    <w:rsid w:val="00305340"/>
    <w:rsid w:val="0030537D"/>
    <w:rsid w:val="00305750"/>
    <w:rsid w:val="0030586F"/>
    <w:rsid w:val="00305CD8"/>
    <w:rsid w:val="00305F3B"/>
    <w:rsid w:val="00306758"/>
    <w:rsid w:val="00306F50"/>
    <w:rsid w:val="00306FE0"/>
    <w:rsid w:val="00307409"/>
    <w:rsid w:val="00307693"/>
    <w:rsid w:val="003079D7"/>
    <w:rsid w:val="00310B22"/>
    <w:rsid w:val="00310CA9"/>
    <w:rsid w:val="00310E4D"/>
    <w:rsid w:val="0031141F"/>
    <w:rsid w:val="00311764"/>
    <w:rsid w:val="00311D10"/>
    <w:rsid w:val="003126B8"/>
    <w:rsid w:val="00312B38"/>
    <w:rsid w:val="00312DCC"/>
    <w:rsid w:val="00314787"/>
    <w:rsid w:val="00314941"/>
    <w:rsid w:val="00314CEA"/>
    <w:rsid w:val="00314EC2"/>
    <w:rsid w:val="00316155"/>
    <w:rsid w:val="00316ACD"/>
    <w:rsid w:val="003177C7"/>
    <w:rsid w:val="00317FA0"/>
    <w:rsid w:val="00321B0E"/>
    <w:rsid w:val="003222F3"/>
    <w:rsid w:val="00322696"/>
    <w:rsid w:val="00322D1E"/>
    <w:rsid w:val="00323B2F"/>
    <w:rsid w:val="00323B6E"/>
    <w:rsid w:val="00323CDC"/>
    <w:rsid w:val="00323E26"/>
    <w:rsid w:val="0032407A"/>
    <w:rsid w:val="0032479D"/>
    <w:rsid w:val="0032492E"/>
    <w:rsid w:val="00324BA8"/>
    <w:rsid w:val="00326083"/>
    <w:rsid w:val="00326235"/>
    <w:rsid w:val="00326433"/>
    <w:rsid w:val="0032655D"/>
    <w:rsid w:val="00327EBC"/>
    <w:rsid w:val="003304C1"/>
    <w:rsid w:val="0033091E"/>
    <w:rsid w:val="00330C38"/>
    <w:rsid w:val="003313A4"/>
    <w:rsid w:val="00331FB1"/>
    <w:rsid w:val="0033221C"/>
    <w:rsid w:val="00332463"/>
    <w:rsid w:val="0033251F"/>
    <w:rsid w:val="00332739"/>
    <w:rsid w:val="00332F7D"/>
    <w:rsid w:val="00333395"/>
    <w:rsid w:val="00333850"/>
    <w:rsid w:val="0033489E"/>
    <w:rsid w:val="00335DA8"/>
    <w:rsid w:val="00337624"/>
    <w:rsid w:val="0033778B"/>
    <w:rsid w:val="00337E51"/>
    <w:rsid w:val="00340211"/>
    <w:rsid w:val="00341245"/>
    <w:rsid w:val="0034134E"/>
    <w:rsid w:val="003416BD"/>
    <w:rsid w:val="00341902"/>
    <w:rsid w:val="00342567"/>
    <w:rsid w:val="0034286C"/>
    <w:rsid w:val="00343779"/>
    <w:rsid w:val="003450BB"/>
    <w:rsid w:val="0034642E"/>
    <w:rsid w:val="00347A42"/>
    <w:rsid w:val="00347C13"/>
    <w:rsid w:val="00351CE4"/>
    <w:rsid w:val="003537FD"/>
    <w:rsid w:val="0035417D"/>
    <w:rsid w:val="00354A6E"/>
    <w:rsid w:val="00354C3F"/>
    <w:rsid w:val="00355198"/>
    <w:rsid w:val="00355376"/>
    <w:rsid w:val="003555AC"/>
    <w:rsid w:val="0035569C"/>
    <w:rsid w:val="003557CB"/>
    <w:rsid w:val="00355DD2"/>
    <w:rsid w:val="003572A9"/>
    <w:rsid w:val="00357671"/>
    <w:rsid w:val="00360655"/>
    <w:rsid w:val="00360B26"/>
    <w:rsid w:val="00360B79"/>
    <w:rsid w:val="00362BDB"/>
    <w:rsid w:val="00362D98"/>
    <w:rsid w:val="003637F6"/>
    <w:rsid w:val="003641E0"/>
    <w:rsid w:val="00364738"/>
    <w:rsid w:val="00364C5D"/>
    <w:rsid w:val="0036509E"/>
    <w:rsid w:val="00365501"/>
    <w:rsid w:val="0036562F"/>
    <w:rsid w:val="00365B36"/>
    <w:rsid w:val="00365E76"/>
    <w:rsid w:val="003667DC"/>
    <w:rsid w:val="00366BCB"/>
    <w:rsid w:val="0036771D"/>
    <w:rsid w:val="0036783E"/>
    <w:rsid w:val="00367BA9"/>
    <w:rsid w:val="00367CCD"/>
    <w:rsid w:val="00370894"/>
    <w:rsid w:val="00370B0E"/>
    <w:rsid w:val="00370B88"/>
    <w:rsid w:val="00370BD1"/>
    <w:rsid w:val="00371F81"/>
    <w:rsid w:val="00372783"/>
    <w:rsid w:val="003731BA"/>
    <w:rsid w:val="003735D8"/>
    <w:rsid w:val="003739B0"/>
    <w:rsid w:val="0037495F"/>
    <w:rsid w:val="00374A23"/>
    <w:rsid w:val="00374F0C"/>
    <w:rsid w:val="00374F88"/>
    <w:rsid w:val="00375097"/>
    <w:rsid w:val="00375BD3"/>
    <w:rsid w:val="00375E48"/>
    <w:rsid w:val="00376730"/>
    <w:rsid w:val="00376995"/>
    <w:rsid w:val="00376F0F"/>
    <w:rsid w:val="00377026"/>
    <w:rsid w:val="0037782F"/>
    <w:rsid w:val="00377860"/>
    <w:rsid w:val="003778BC"/>
    <w:rsid w:val="00377F66"/>
    <w:rsid w:val="00380509"/>
    <w:rsid w:val="003811A4"/>
    <w:rsid w:val="00381964"/>
    <w:rsid w:val="003821C1"/>
    <w:rsid w:val="00382219"/>
    <w:rsid w:val="003824D0"/>
    <w:rsid w:val="00382622"/>
    <w:rsid w:val="003829D1"/>
    <w:rsid w:val="00383006"/>
    <w:rsid w:val="00383274"/>
    <w:rsid w:val="00383E36"/>
    <w:rsid w:val="00384B43"/>
    <w:rsid w:val="00384BC1"/>
    <w:rsid w:val="00385302"/>
    <w:rsid w:val="00385576"/>
    <w:rsid w:val="00385E4A"/>
    <w:rsid w:val="0038652C"/>
    <w:rsid w:val="00386977"/>
    <w:rsid w:val="00386FF5"/>
    <w:rsid w:val="00387149"/>
    <w:rsid w:val="00387478"/>
    <w:rsid w:val="00387F01"/>
    <w:rsid w:val="00390A22"/>
    <w:rsid w:val="00390E59"/>
    <w:rsid w:val="00390F5B"/>
    <w:rsid w:val="00391125"/>
    <w:rsid w:val="00391651"/>
    <w:rsid w:val="003916A4"/>
    <w:rsid w:val="003918C6"/>
    <w:rsid w:val="00391B96"/>
    <w:rsid w:val="00392161"/>
    <w:rsid w:val="00392372"/>
    <w:rsid w:val="0039348C"/>
    <w:rsid w:val="003934BC"/>
    <w:rsid w:val="00393870"/>
    <w:rsid w:val="00393B6D"/>
    <w:rsid w:val="00393C90"/>
    <w:rsid w:val="00393DF2"/>
    <w:rsid w:val="00393FCC"/>
    <w:rsid w:val="00394185"/>
    <w:rsid w:val="00394343"/>
    <w:rsid w:val="00394938"/>
    <w:rsid w:val="00395633"/>
    <w:rsid w:val="00395C29"/>
    <w:rsid w:val="0039636C"/>
    <w:rsid w:val="003965DE"/>
    <w:rsid w:val="003969C8"/>
    <w:rsid w:val="00397240"/>
    <w:rsid w:val="00397607"/>
    <w:rsid w:val="003A0157"/>
    <w:rsid w:val="003A10F1"/>
    <w:rsid w:val="003A1569"/>
    <w:rsid w:val="003A1E26"/>
    <w:rsid w:val="003A1EB7"/>
    <w:rsid w:val="003A3969"/>
    <w:rsid w:val="003A3A86"/>
    <w:rsid w:val="003A3D74"/>
    <w:rsid w:val="003A5973"/>
    <w:rsid w:val="003A5F4E"/>
    <w:rsid w:val="003A65A8"/>
    <w:rsid w:val="003A6736"/>
    <w:rsid w:val="003A6B86"/>
    <w:rsid w:val="003A72FB"/>
    <w:rsid w:val="003A78F4"/>
    <w:rsid w:val="003B0307"/>
    <w:rsid w:val="003B034A"/>
    <w:rsid w:val="003B16BC"/>
    <w:rsid w:val="003B36C7"/>
    <w:rsid w:val="003B38CE"/>
    <w:rsid w:val="003B3F81"/>
    <w:rsid w:val="003B4541"/>
    <w:rsid w:val="003B4750"/>
    <w:rsid w:val="003B4B87"/>
    <w:rsid w:val="003B5420"/>
    <w:rsid w:val="003B56BD"/>
    <w:rsid w:val="003B5984"/>
    <w:rsid w:val="003B5C14"/>
    <w:rsid w:val="003B5FD0"/>
    <w:rsid w:val="003B7A6F"/>
    <w:rsid w:val="003C00AA"/>
    <w:rsid w:val="003C0798"/>
    <w:rsid w:val="003C0ACD"/>
    <w:rsid w:val="003C0C67"/>
    <w:rsid w:val="003C10BC"/>
    <w:rsid w:val="003C1411"/>
    <w:rsid w:val="003C1F28"/>
    <w:rsid w:val="003C2304"/>
    <w:rsid w:val="003C273E"/>
    <w:rsid w:val="003C325F"/>
    <w:rsid w:val="003C3524"/>
    <w:rsid w:val="003C3797"/>
    <w:rsid w:val="003C3C8F"/>
    <w:rsid w:val="003C4914"/>
    <w:rsid w:val="003C4A13"/>
    <w:rsid w:val="003C58E9"/>
    <w:rsid w:val="003C59AA"/>
    <w:rsid w:val="003C59AF"/>
    <w:rsid w:val="003C5BA3"/>
    <w:rsid w:val="003C5C95"/>
    <w:rsid w:val="003C5F08"/>
    <w:rsid w:val="003C6241"/>
    <w:rsid w:val="003C6B76"/>
    <w:rsid w:val="003D00CA"/>
    <w:rsid w:val="003D0E63"/>
    <w:rsid w:val="003D12BB"/>
    <w:rsid w:val="003D19A2"/>
    <w:rsid w:val="003D1F36"/>
    <w:rsid w:val="003D2635"/>
    <w:rsid w:val="003D298A"/>
    <w:rsid w:val="003D355A"/>
    <w:rsid w:val="003D446D"/>
    <w:rsid w:val="003D4BD2"/>
    <w:rsid w:val="003D4EF6"/>
    <w:rsid w:val="003D503A"/>
    <w:rsid w:val="003D5434"/>
    <w:rsid w:val="003D5A97"/>
    <w:rsid w:val="003D5DF4"/>
    <w:rsid w:val="003D6AA7"/>
    <w:rsid w:val="003D6CAC"/>
    <w:rsid w:val="003D71A5"/>
    <w:rsid w:val="003D7D55"/>
    <w:rsid w:val="003D7FEE"/>
    <w:rsid w:val="003E04C4"/>
    <w:rsid w:val="003E0A6E"/>
    <w:rsid w:val="003E0BAD"/>
    <w:rsid w:val="003E1071"/>
    <w:rsid w:val="003E192B"/>
    <w:rsid w:val="003E1C17"/>
    <w:rsid w:val="003E1DE0"/>
    <w:rsid w:val="003E2BF7"/>
    <w:rsid w:val="003E2C15"/>
    <w:rsid w:val="003E3455"/>
    <w:rsid w:val="003E394A"/>
    <w:rsid w:val="003E3B7F"/>
    <w:rsid w:val="003E3B9D"/>
    <w:rsid w:val="003E40C7"/>
    <w:rsid w:val="003E42C4"/>
    <w:rsid w:val="003E4561"/>
    <w:rsid w:val="003E47F3"/>
    <w:rsid w:val="003E4CEE"/>
    <w:rsid w:val="003E4D88"/>
    <w:rsid w:val="003E4E2B"/>
    <w:rsid w:val="003E4FE3"/>
    <w:rsid w:val="003E50E0"/>
    <w:rsid w:val="003E52A8"/>
    <w:rsid w:val="003E5303"/>
    <w:rsid w:val="003E5376"/>
    <w:rsid w:val="003E6346"/>
    <w:rsid w:val="003E6503"/>
    <w:rsid w:val="003E6E87"/>
    <w:rsid w:val="003E7746"/>
    <w:rsid w:val="003E7E94"/>
    <w:rsid w:val="003F0419"/>
    <w:rsid w:val="003F0460"/>
    <w:rsid w:val="003F049A"/>
    <w:rsid w:val="003F0875"/>
    <w:rsid w:val="003F08AB"/>
    <w:rsid w:val="003F0AAB"/>
    <w:rsid w:val="003F1875"/>
    <w:rsid w:val="003F27C2"/>
    <w:rsid w:val="003F296A"/>
    <w:rsid w:val="003F2A9B"/>
    <w:rsid w:val="003F3181"/>
    <w:rsid w:val="003F34D6"/>
    <w:rsid w:val="003F366B"/>
    <w:rsid w:val="003F3CEF"/>
    <w:rsid w:val="003F4643"/>
    <w:rsid w:val="003F4802"/>
    <w:rsid w:val="003F4F44"/>
    <w:rsid w:val="003F5089"/>
    <w:rsid w:val="003F5C14"/>
    <w:rsid w:val="003F6135"/>
    <w:rsid w:val="003F6289"/>
    <w:rsid w:val="003F64BD"/>
    <w:rsid w:val="003F6757"/>
    <w:rsid w:val="003F67F1"/>
    <w:rsid w:val="003F6CB0"/>
    <w:rsid w:val="003F6D11"/>
    <w:rsid w:val="003F6F97"/>
    <w:rsid w:val="003F70AB"/>
    <w:rsid w:val="003F76C7"/>
    <w:rsid w:val="0040003D"/>
    <w:rsid w:val="004002E5"/>
    <w:rsid w:val="0040044E"/>
    <w:rsid w:val="00400582"/>
    <w:rsid w:val="00400E03"/>
    <w:rsid w:val="004013C6"/>
    <w:rsid w:val="00402024"/>
    <w:rsid w:val="00402678"/>
    <w:rsid w:val="00402F67"/>
    <w:rsid w:val="00404502"/>
    <w:rsid w:val="00404C0B"/>
    <w:rsid w:val="00405295"/>
    <w:rsid w:val="004062D2"/>
    <w:rsid w:val="00406888"/>
    <w:rsid w:val="00406F94"/>
    <w:rsid w:val="00407B14"/>
    <w:rsid w:val="004107B7"/>
    <w:rsid w:val="00410C6C"/>
    <w:rsid w:val="00410D4B"/>
    <w:rsid w:val="00410E9D"/>
    <w:rsid w:val="00410F38"/>
    <w:rsid w:val="0041150B"/>
    <w:rsid w:val="00412524"/>
    <w:rsid w:val="004131CA"/>
    <w:rsid w:val="0041330F"/>
    <w:rsid w:val="00413A77"/>
    <w:rsid w:val="00413D74"/>
    <w:rsid w:val="00413DE5"/>
    <w:rsid w:val="00415128"/>
    <w:rsid w:val="004156CE"/>
    <w:rsid w:val="00415E4B"/>
    <w:rsid w:val="004161BD"/>
    <w:rsid w:val="00416A67"/>
    <w:rsid w:val="00416AB7"/>
    <w:rsid w:val="004205F6"/>
    <w:rsid w:val="004206AF"/>
    <w:rsid w:val="004208E2"/>
    <w:rsid w:val="00420B4A"/>
    <w:rsid w:val="00421071"/>
    <w:rsid w:val="00421334"/>
    <w:rsid w:val="00422031"/>
    <w:rsid w:val="0042227F"/>
    <w:rsid w:val="00422B2B"/>
    <w:rsid w:val="004235C7"/>
    <w:rsid w:val="004237CE"/>
    <w:rsid w:val="00423CC2"/>
    <w:rsid w:val="00423FF0"/>
    <w:rsid w:val="00424921"/>
    <w:rsid w:val="00425BBA"/>
    <w:rsid w:val="0042606A"/>
    <w:rsid w:val="004265B4"/>
    <w:rsid w:val="00426A71"/>
    <w:rsid w:val="00426ADF"/>
    <w:rsid w:val="00426F55"/>
    <w:rsid w:val="004271BE"/>
    <w:rsid w:val="00430059"/>
    <w:rsid w:val="00430970"/>
    <w:rsid w:val="00431AC9"/>
    <w:rsid w:val="00431C62"/>
    <w:rsid w:val="00431DF3"/>
    <w:rsid w:val="00432B4A"/>
    <w:rsid w:val="00433057"/>
    <w:rsid w:val="0043480D"/>
    <w:rsid w:val="004350D7"/>
    <w:rsid w:val="004356E3"/>
    <w:rsid w:val="00435841"/>
    <w:rsid w:val="004358B3"/>
    <w:rsid w:val="00435B5E"/>
    <w:rsid w:val="00435B6B"/>
    <w:rsid w:val="00436946"/>
    <w:rsid w:val="004370BC"/>
    <w:rsid w:val="0043789E"/>
    <w:rsid w:val="00437A0D"/>
    <w:rsid w:val="00440BD6"/>
    <w:rsid w:val="00440FF0"/>
    <w:rsid w:val="004412CD"/>
    <w:rsid w:val="00441358"/>
    <w:rsid w:val="004415AC"/>
    <w:rsid w:val="004419CE"/>
    <w:rsid w:val="00442302"/>
    <w:rsid w:val="00442588"/>
    <w:rsid w:val="0044270E"/>
    <w:rsid w:val="00442A39"/>
    <w:rsid w:val="00443B4D"/>
    <w:rsid w:val="00443CFA"/>
    <w:rsid w:val="004442DB"/>
    <w:rsid w:val="0044470A"/>
    <w:rsid w:val="00444CFE"/>
    <w:rsid w:val="00446FAB"/>
    <w:rsid w:val="00447028"/>
    <w:rsid w:val="00447BAE"/>
    <w:rsid w:val="00447E65"/>
    <w:rsid w:val="00447F7F"/>
    <w:rsid w:val="00450BF7"/>
    <w:rsid w:val="00451082"/>
    <w:rsid w:val="00451223"/>
    <w:rsid w:val="004512DB"/>
    <w:rsid w:val="004513EC"/>
    <w:rsid w:val="00451CFE"/>
    <w:rsid w:val="00452287"/>
    <w:rsid w:val="00452E52"/>
    <w:rsid w:val="004530F3"/>
    <w:rsid w:val="004532A9"/>
    <w:rsid w:val="004532FF"/>
    <w:rsid w:val="00453599"/>
    <w:rsid w:val="00453641"/>
    <w:rsid w:val="004537CE"/>
    <w:rsid w:val="00454142"/>
    <w:rsid w:val="0045448B"/>
    <w:rsid w:val="0045453E"/>
    <w:rsid w:val="00454BCD"/>
    <w:rsid w:val="00454C0C"/>
    <w:rsid w:val="0045616C"/>
    <w:rsid w:val="00456345"/>
    <w:rsid w:val="004565F0"/>
    <w:rsid w:val="004567B9"/>
    <w:rsid w:val="004568EC"/>
    <w:rsid w:val="004570C6"/>
    <w:rsid w:val="004571A6"/>
    <w:rsid w:val="00457329"/>
    <w:rsid w:val="00457F79"/>
    <w:rsid w:val="00460538"/>
    <w:rsid w:val="004607BC"/>
    <w:rsid w:val="00460BBA"/>
    <w:rsid w:val="00460C74"/>
    <w:rsid w:val="00461132"/>
    <w:rsid w:val="00461885"/>
    <w:rsid w:val="00461939"/>
    <w:rsid w:val="00462176"/>
    <w:rsid w:val="0046235A"/>
    <w:rsid w:val="00462558"/>
    <w:rsid w:val="00462A76"/>
    <w:rsid w:val="00462D94"/>
    <w:rsid w:val="0046317C"/>
    <w:rsid w:val="00463304"/>
    <w:rsid w:val="004634B7"/>
    <w:rsid w:val="00463FF7"/>
    <w:rsid w:val="00464081"/>
    <w:rsid w:val="00464861"/>
    <w:rsid w:val="004649D7"/>
    <w:rsid w:val="004655B0"/>
    <w:rsid w:val="0046567F"/>
    <w:rsid w:val="004666CE"/>
    <w:rsid w:val="00466F71"/>
    <w:rsid w:val="004671CF"/>
    <w:rsid w:val="004678B1"/>
    <w:rsid w:val="00470396"/>
    <w:rsid w:val="0047066A"/>
    <w:rsid w:val="004710E1"/>
    <w:rsid w:val="00471AB7"/>
    <w:rsid w:val="00471E5E"/>
    <w:rsid w:val="00471FFE"/>
    <w:rsid w:val="00472A84"/>
    <w:rsid w:val="0047336A"/>
    <w:rsid w:val="004736DF"/>
    <w:rsid w:val="004737A9"/>
    <w:rsid w:val="004738E1"/>
    <w:rsid w:val="0047409F"/>
    <w:rsid w:val="00474622"/>
    <w:rsid w:val="00475911"/>
    <w:rsid w:val="00475A02"/>
    <w:rsid w:val="00475C9B"/>
    <w:rsid w:val="00475E07"/>
    <w:rsid w:val="00481570"/>
    <w:rsid w:val="004816A1"/>
    <w:rsid w:val="004822A6"/>
    <w:rsid w:val="004829D6"/>
    <w:rsid w:val="00482C3D"/>
    <w:rsid w:val="00482CEB"/>
    <w:rsid w:val="00483AAF"/>
    <w:rsid w:val="00483BB2"/>
    <w:rsid w:val="00483D6C"/>
    <w:rsid w:val="0048454B"/>
    <w:rsid w:val="00484F48"/>
    <w:rsid w:val="004858F2"/>
    <w:rsid w:val="004862CB"/>
    <w:rsid w:val="004864B3"/>
    <w:rsid w:val="004865CD"/>
    <w:rsid w:val="00487DA6"/>
    <w:rsid w:val="00487E46"/>
    <w:rsid w:val="00490AC4"/>
    <w:rsid w:val="00490EDD"/>
    <w:rsid w:val="00491479"/>
    <w:rsid w:val="00491991"/>
    <w:rsid w:val="00492385"/>
    <w:rsid w:val="004939DB"/>
    <w:rsid w:val="00493A09"/>
    <w:rsid w:val="00493CE4"/>
    <w:rsid w:val="0049557A"/>
    <w:rsid w:val="004957A0"/>
    <w:rsid w:val="00495954"/>
    <w:rsid w:val="00495A35"/>
    <w:rsid w:val="00495DC9"/>
    <w:rsid w:val="00496DDF"/>
    <w:rsid w:val="0049701A"/>
    <w:rsid w:val="00497893"/>
    <w:rsid w:val="00497BE4"/>
    <w:rsid w:val="004A0216"/>
    <w:rsid w:val="004A065B"/>
    <w:rsid w:val="004A070F"/>
    <w:rsid w:val="004A09FD"/>
    <w:rsid w:val="004A13A1"/>
    <w:rsid w:val="004A1FFD"/>
    <w:rsid w:val="004A25FA"/>
    <w:rsid w:val="004A2B43"/>
    <w:rsid w:val="004A3754"/>
    <w:rsid w:val="004A3847"/>
    <w:rsid w:val="004A4398"/>
    <w:rsid w:val="004A473A"/>
    <w:rsid w:val="004A4F32"/>
    <w:rsid w:val="004A5071"/>
    <w:rsid w:val="004A5F59"/>
    <w:rsid w:val="004A5F5E"/>
    <w:rsid w:val="004A63DE"/>
    <w:rsid w:val="004A7BD1"/>
    <w:rsid w:val="004B0262"/>
    <w:rsid w:val="004B0526"/>
    <w:rsid w:val="004B07D1"/>
    <w:rsid w:val="004B0B0B"/>
    <w:rsid w:val="004B1127"/>
    <w:rsid w:val="004B204A"/>
    <w:rsid w:val="004B3241"/>
    <w:rsid w:val="004B3381"/>
    <w:rsid w:val="004B3796"/>
    <w:rsid w:val="004B3C2F"/>
    <w:rsid w:val="004B4720"/>
    <w:rsid w:val="004B5ED4"/>
    <w:rsid w:val="004B75AB"/>
    <w:rsid w:val="004B7841"/>
    <w:rsid w:val="004B7D35"/>
    <w:rsid w:val="004C0343"/>
    <w:rsid w:val="004C0B29"/>
    <w:rsid w:val="004C11EF"/>
    <w:rsid w:val="004C12BC"/>
    <w:rsid w:val="004C1641"/>
    <w:rsid w:val="004C199C"/>
    <w:rsid w:val="004C4CC0"/>
    <w:rsid w:val="004C4CC8"/>
    <w:rsid w:val="004C56EC"/>
    <w:rsid w:val="004C5E03"/>
    <w:rsid w:val="004C5E58"/>
    <w:rsid w:val="004C658F"/>
    <w:rsid w:val="004C692B"/>
    <w:rsid w:val="004C6D6B"/>
    <w:rsid w:val="004D02EC"/>
    <w:rsid w:val="004D0602"/>
    <w:rsid w:val="004D0AA4"/>
    <w:rsid w:val="004D0AF0"/>
    <w:rsid w:val="004D10A1"/>
    <w:rsid w:val="004D23FD"/>
    <w:rsid w:val="004D24FB"/>
    <w:rsid w:val="004D2AAC"/>
    <w:rsid w:val="004D2C8A"/>
    <w:rsid w:val="004D32B7"/>
    <w:rsid w:val="004D3374"/>
    <w:rsid w:val="004D3BD7"/>
    <w:rsid w:val="004D4B30"/>
    <w:rsid w:val="004D6548"/>
    <w:rsid w:val="004D6DCA"/>
    <w:rsid w:val="004D6F88"/>
    <w:rsid w:val="004D7720"/>
    <w:rsid w:val="004D7A34"/>
    <w:rsid w:val="004D7F64"/>
    <w:rsid w:val="004E0D2A"/>
    <w:rsid w:val="004E0D73"/>
    <w:rsid w:val="004E26A5"/>
    <w:rsid w:val="004E34DB"/>
    <w:rsid w:val="004E41B3"/>
    <w:rsid w:val="004E450F"/>
    <w:rsid w:val="004E4842"/>
    <w:rsid w:val="004E4DDC"/>
    <w:rsid w:val="004E529C"/>
    <w:rsid w:val="004E53A5"/>
    <w:rsid w:val="004E59B4"/>
    <w:rsid w:val="004E62AB"/>
    <w:rsid w:val="004E6458"/>
    <w:rsid w:val="004E68B2"/>
    <w:rsid w:val="004E6AFC"/>
    <w:rsid w:val="004E6C9C"/>
    <w:rsid w:val="004E7371"/>
    <w:rsid w:val="004E7680"/>
    <w:rsid w:val="004F0AFA"/>
    <w:rsid w:val="004F123C"/>
    <w:rsid w:val="004F1DEE"/>
    <w:rsid w:val="004F2D97"/>
    <w:rsid w:val="004F2EEB"/>
    <w:rsid w:val="004F3133"/>
    <w:rsid w:val="004F3CE4"/>
    <w:rsid w:val="004F3D87"/>
    <w:rsid w:val="004F3F70"/>
    <w:rsid w:val="004F46B1"/>
    <w:rsid w:val="004F491A"/>
    <w:rsid w:val="004F54A2"/>
    <w:rsid w:val="004F6F80"/>
    <w:rsid w:val="004F7078"/>
    <w:rsid w:val="004F7176"/>
    <w:rsid w:val="004F797D"/>
    <w:rsid w:val="004F7C43"/>
    <w:rsid w:val="004F7DD2"/>
    <w:rsid w:val="00501079"/>
    <w:rsid w:val="005014DB"/>
    <w:rsid w:val="00501EAE"/>
    <w:rsid w:val="00502643"/>
    <w:rsid w:val="0050299D"/>
    <w:rsid w:val="00502AD6"/>
    <w:rsid w:val="00503625"/>
    <w:rsid w:val="0050376F"/>
    <w:rsid w:val="00504227"/>
    <w:rsid w:val="005045D0"/>
    <w:rsid w:val="00504882"/>
    <w:rsid w:val="0050497F"/>
    <w:rsid w:val="0050505B"/>
    <w:rsid w:val="005052C3"/>
    <w:rsid w:val="005053E9"/>
    <w:rsid w:val="0050587A"/>
    <w:rsid w:val="00505F6E"/>
    <w:rsid w:val="00506090"/>
    <w:rsid w:val="005060B3"/>
    <w:rsid w:val="005061A6"/>
    <w:rsid w:val="005077BE"/>
    <w:rsid w:val="00510725"/>
    <w:rsid w:val="00510DF2"/>
    <w:rsid w:val="005110D3"/>
    <w:rsid w:val="005112B3"/>
    <w:rsid w:val="005113EB"/>
    <w:rsid w:val="00511581"/>
    <w:rsid w:val="00511600"/>
    <w:rsid w:val="00511989"/>
    <w:rsid w:val="0051240F"/>
    <w:rsid w:val="00512917"/>
    <w:rsid w:val="0051296A"/>
    <w:rsid w:val="00513348"/>
    <w:rsid w:val="00513600"/>
    <w:rsid w:val="005138DA"/>
    <w:rsid w:val="00513A02"/>
    <w:rsid w:val="00513A2D"/>
    <w:rsid w:val="00513B26"/>
    <w:rsid w:val="00514000"/>
    <w:rsid w:val="005144E8"/>
    <w:rsid w:val="00514A61"/>
    <w:rsid w:val="00514EB9"/>
    <w:rsid w:val="005152CC"/>
    <w:rsid w:val="005153B4"/>
    <w:rsid w:val="005157B0"/>
    <w:rsid w:val="005157DE"/>
    <w:rsid w:val="005158FA"/>
    <w:rsid w:val="0051692F"/>
    <w:rsid w:val="00517004"/>
    <w:rsid w:val="005203A7"/>
    <w:rsid w:val="005204D4"/>
    <w:rsid w:val="00520F2E"/>
    <w:rsid w:val="00521348"/>
    <w:rsid w:val="0052170E"/>
    <w:rsid w:val="00521B87"/>
    <w:rsid w:val="00522133"/>
    <w:rsid w:val="005226F1"/>
    <w:rsid w:val="0052271B"/>
    <w:rsid w:val="005229EA"/>
    <w:rsid w:val="00523324"/>
    <w:rsid w:val="00523AAA"/>
    <w:rsid w:val="00523DD2"/>
    <w:rsid w:val="00524112"/>
    <w:rsid w:val="00524411"/>
    <w:rsid w:val="00524584"/>
    <w:rsid w:val="00524E6C"/>
    <w:rsid w:val="00524F6E"/>
    <w:rsid w:val="0052506A"/>
    <w:rsid w:val="0052507F"/>
    <w:rsid w:val="0052512F"/>
    <w:rsid w:val="0052743F"/>
    <w:rsid w:val="005309F7"/>
    <w:rsid w:val="00530F90"/>
    <w:rsid w:val="005324BD"/>
    <w:rsid w:val="005325AA"/>
    <w:rsid w:val="005325F0"/>
    <w:rsid w:val="00533803"/>
    <w:rsid w:val="00534959"/>
    <w:rsid w:val="00535252"/>
    <w:rsid w:val="005354F3"/>
    <w:rsid w:val="00535F5A"/>
    <w:rsid w:val="005360A1"/>
    <w:rsid w:val="005360B0"/>
    <w:rsid w:val="005375EA"/>
    <w:rsid w:val="00537941"/>
    <w:rsid w:val="00540B49"/>
    <w:rsid w:val="00540D8D"/>
    <w:rsid w:val="00540DE3"/>
    <w:rsid w:val="0054127D"/>
    <w:rsid w:val="0054129C"/>
    <w:rsid w:val="00541416"/>
    <w:rsid w:val="005416BB"/>
    <w:rsid w:val="00541BA2"/>
    <w:rsid w:val="005420FE"/>
    <w:rsid w:val="0054221F"/>
    <w:rsid w:val="00543894"/>
    <w:rsid w:val="00544883"/>
    <w:rsid w:val="00545149"/>
    <w:rsid w:val="0054642A"/>
    <w:rsid w:val="00546606"/>
    <w:rsid w:val="005472EA"/>
    <w:rsid w:val="005477E4"/>
    <w:rsid w:val="00547CF8"/>
    <w:rsid w:val="00550EA0"/>
    <w:rsid w:val="00550F4F"/>
    <w:rsid w:val="00551CAA"/>
    <w:rsid w:val="00551DC7"/>
    <w:rsid w:val="0055212B"/>
    <w:rsid w:val="00552B0F"/>
    <w:rsid w:val="00553876"/>
    <w:rsid w:val="00553C9C"/>
    <w:rsid w:val="00553CBB"/>
    <w:rsid w:val="00553CD4"/>
    <w:rsid w:val="005540B5"/>
    <w:rsid w:val="005551C3"/>
    <w:rsid w:val="00556DCA"/>
    <w:rsid w:val="005574CB"/>
    <w:rsid w:val="005600AE"/>
    <w:rsid w:val="005607AE"/>
    <w:rsid w:val="005609CC"/>
    <w:rsid w:val="005611BA"/>
    <w:rsid w:val="00561233"/>
    <w:rsid w:val="00561498"/>
    <w:rsid w:val="00561672"/>
    <w:rsid w:val="005617ED"/>
    <w:rsid w:val="005622F7"/>
    <w:rsid w:val="005623C2"/>
    <w:rsid w:val="00562AA7"/>
    <w:rsid w:val="00563DCA"/>
    <w:rsid w:val="005650B5"/>
    <w:rsid w:val="0056657A"/>
    <w:rsid w:val="00566D60"/>
    <w:rsid w:val="00566DB3"/>
    <w:rsid w:val="00566E0A"/>
    <w:rsid w:val="0056706D"/>
    <w:rsid w:val="00567301"/>
    <w:rsid w:val="005674C4"/>
    <w:rsid w:val="005674C9"/>
    <w:rsid w:val="005678EA"/>
    <w:rsid w:val="00571418"/>
    <w:rsid w:val="0057165B"/>
    <w:rsid w:val="00571A70"/>
    <w:rsid w:val="00572029"/>
    <w:rsid w:val="00572919"/>
    <w:rsid w:val="00572C1D"/>
    <w:rsid w:val="005735E4"/>
    <w:rsid w:val="0057360B"/>
    <w:rsid w:val="005743E9"/>
    <w:rsid w:val="00574929"/>
    <w:rsid w:val="005750BB"/>
    <w:rsid w:val="0057528F"/>
    <w:rsid w:val="00575D0A"/>
    <w:rsid w:val="00576AD3"/>
    <w:rsid w:val="0057727C"/>
    <w:rsid w:val="00577F20"/>
    <w:rsid w:val="00582140"/>
    <w:rsid w:val="00584ADA"/>
    <w:rsid w:val="005859F4"/>
    <w:rsid w:val="00585E4D"/>
    <w:rsid w:val="00586297"/>
    <w:rsid w:val="00586427"/>
    <w:rsid w:val="00586553"/>
    <w:rsid w:val="0058772B"/>
    <w:rsid w:val="00587D82"/>
    <w:rsid w:val="00590410"/>
    <w:rsid w:val="0059047E"/>
    <w:rsid w:val="00590557"/>
    <w:rsid w:val="00591519"/>
    <w:rsid w:val="0059188E"/>
    <w:rsid w:val="0059216F"/>
    <w:rsid w:val="005924FB"/>
    <w:rsid w:val="00592514"/>
    <w:rsid w:val="0059287D"/>
    <w:rsid w:val="00592DBA"/>
    <w:rsid w:val="00592ED6"/>
    <w:rsid w:val="00593B38"/>
    <w:rsid w:val="0059440C"/>
    <w:rsid w:val="00594419"/>
    <w:rsid w:val="00594AFD"/>
    <w:rsid w:val="00594BEA"/>
    <w:rsid w:val="00595F45"/>
    <w:rsid w:val="005960AF"/>
    <w:rsid w:val="00596310"/>
    <w:rsid w:val="00596CC3"/>
    <w:rsid w:val="00597319"/>
    <w:rsid w:val="0059763C"/>
    <w:rsid w:val="00597CA3"/>
    <w:rsid w:val="005A054F"/>
    <w:rsid w:val="005A0AA4"/>
    <w:rsid w:val="005A0EFD"/>
    <w:rsid w:val="005A3603"/>
    <w:rsid w:val="005A3FBB"/>
    <w:rsid w:val="005A478D"/>
    <w:rsid w:val="005A54D9"/>
    <w:rsid w:val="005A5E27"/>
    <w:rsid w:val="005A64A9"/>
    <w:rsid w:val="005A6578"/>
    <w:rsid w:val="005B05A8"/>
    <w:rsid w:val="005B083A"/>
    <w:rsid w:val="005B08E9"/>
    <w:rsid w:val="005B0DD4"/>
    <w:rsid w:val="005B11F4"/>
    <w:rsid w:val="005B126E"/>
    <w:rsid w:val="005B1ED3"/>
    <w:rsid w:val="005B2046"/>
    <w:rsid w:val="005B21CD"/>
    <w:rsid w:val="005B21D1"/>
    <w:rsid w:val="005B2D00"/>
    <w:rsid w:val="005B2F56"/>
    <w:rsid w:val="005B3322"/>
    <w:rsid w:val="005B3679"/>
    <w:rsid w:val="005B38A1"/>
    <w:rsid w:val="005B41AC"/>
    <w:rsid w:val="005B4C40"/>
    <w:rsid w:val="005B4ED8"/>
    <w:rsid w:val="005B558A"/>
    <w:rsid w:val="005B566A"/>
    <w:rsid w:val="005B5D9B"/>
    <w:rsid w:val="005B621B"/>
    <w:rsid w:val="005B635A"/>
    <w:rsid w:val="005B6852"/>
    <w:rsid w:val="005B6F73"/>
    <w:rsid w:val="005B74A1"/>
    <w:rsid w:val="005B7549"/>
    <w:rsid w:val="005B7AF5"/>
    <w:rsid w:val="005C1125"/>
    <w:rsid w:val="005C132D"/>
    <w:rsid w:val="005C195E"/>
    <w:rsid w:val="005C24B8"/>
    <w:rsid w:val="005C3A2B"/>
    <w:rsid w:val="005C3BB8"/>
    <w:rsid w:val="005C3FCC"/>
    <w:rsid w:val="005C439F"/>
    <w:rsid w:val="005C4FA3"/>
    <w:rsid w:val="005C53BC"/>
    <w:rsid w:val="005C545E"/>
    <w:rsid w:val="005C5A28"/>
    <w:rsid w:val="005C7255"/>
    <w:rsid w:val="005C7A53"/>
    <w:rsid w:val="005D04DF"/>
    <w:rsid w:val="005D054D"/>
    <w:rsid w:val="005D2650"/>
    <w:rsid w:val="005D3928"/>
    <w:rsid w:val="005D3D70"/>
    <w:rsid w:val="005D3EB8"/>
    <w:rsid w:val="005D48C2"/>
    <w:rsid w:val="005D48C4"/>
    <w:rsid w:val="005D51B9"/>
    <w:rsid w:val="005D6181"/>
    <w:rsid w:val="005D64A9"/>
    <w:rsid w:val="005D65D1"/>
    <w:rsid w:val="005D6DB5"/>
    <w:rsid w:val="005D6F46"/>
    <w:rsid w:val="005D7573"/>
    <w:rsid w:val="005D7984"/>
    <w:rsid w:val="005D7F92"/>
    <w:rsid w:val="005E0577"/>
    <w:rsid w:val="005E1288"/>
    <w:rsid w:val="005E1E6F"/>
    <w:rsid w:val="005E1ED4"/>
    <w:rsid w:val="005E1F03"/>
    <w:rsid w:val="005E2069"/>
    <w:rsid w:val="005E2382"/>
    <w:rsid w:val="005E24A0"/>
    <w:rsid w:val="005E303C"/>
    <w:rsid w:val="005E413B"/>
    <w:rsid w:val="005E512E"/>
    <w:rsid w:val="005E53BE"/>
    <w:rsid w:val="005E593C"/>
    <w:rsid w:val="005E6181"/>
    <w:rsid w:val="005E673B"/>
    <w:rsid w:val="005E6A63"/>
    <w:rsid w:val="005E7205"/>
    <w:rsid w:val="005E72B3"/>
    <w:rsid w:val="005E7986"/>
    <w:rsid w:val="005F033A"/>
    <w:rsid w:val="005F21CF"/>
    <w:rsid w:val="005F2426"/>
    <w:rsid w:val="005F26F5"/>
    <w:rsid w:val="005F2A14"/>
    <w:rsid w:val="005F3018"/>
    <w:rsid w:val="005F346C"/>
    <w:rsid w:val="005F34CC"/>
    <w:rsid w:val="005F35DF"/>
    <w:rsid w:val="005F3C41"/>
    <w:rsid w:val="005F4311"/>
    <w:rsid w:val="005F53D6"/>
    <w:rsid w:val="005F5839"/>
    <w:rsid w:val="005F5B27"/>
    <w:rsid w:val="005F650E"/>
    <w:rsid w:val="005F69C5"/>
    <w:rsid w:val="005F72A2"/>
    <w:rsid w:val="005F7EBE"/>
    <w:rsid w:val="006002A1"/>
    <w:rsid w:val="006009F8"/>
    <w:rsid w:val="00601026"/>
    <w:rsid w:val="0060151E"/>
    <w:rsid w:val="006017E7"/>
    <w:rsid w:val="006022DA"/>
    <w:rsid w:val="0060230B"/>
    <w:rsid w:val="00602796"/>
    <w:rsid w:val="00602DCE"/>
    <w:rsid w:val="0060325D"/>
    <w:rsid w:val="006039DA"/>
    <w:rsid w:val="00603BD7"/>
    <w:rsid w:val="00604475"/>
    <w:rsid w:val="006049C7"/>
    <w:rsid w:val="006050BE"/>
    <w:rsid w:val="006058A3"/>
    <w:rsid w:val="006066B6"/>
    <w:rsid w:val="00606792"/>
    <w:rsid w:val="00606B8D"/>
    <w:rsid w:val="00606CB5"/>
    <w:rsid w:val="00606D19"/>
    <w:rsid w:val="00607137"/>
    <w:rsid w:val="00607833"/>
    <w:rsid w:val="006105A9"/>
    <w:rsid w:val="00610652"/>
    <w:rsid w:val="006108C4"/>
    <w:rsid w:val="00610ABD"/>
    <w:rsid w:val="00611286"/>
    <w:rsid w:val="0061164A"/>
    <w:rsid w:val="006125D4"/>
    <w:rsid w:val="00612B72"/>
    <w:rsid w:val="006131E6"/>
    <w:rsid w:val="00613D7E"/>
    <w:rsid w:val="0061437C"/>
    <w:rsid w:val="00614764"/>
    <w:rsid w:val="00615367"/>
    <w:rsid w:val="00615B0D"/>
    <w:rsid w:val="00616541"/>
    <w:rsid w:val="006169B4"/>
    <w:rsid w:val="006170C5"/>
    <w:rsid w:val="006177F5"/>
    <w:rsid w:val="00620926"/>
    <w:rsid w:val="00621247"/>
    <w:rsid w:val="006212E8"/>
    <w:rsid w:val="00621B65"/>
    <w:rsid w:val="00621C08"/>
    <w:rsid w:val="00622D7C"/>
    <w:rsid w:val="00624648"/>
    <w:rsid w:val="00624B61"/>
    <w:rsid w:val="00624C2A"/>
    <w:rsid w:val="00625814"/>
    <w:rsid w:val="00625B97"/>
    <w:rsid w:val="00625C99"/>
    <w:rsid w:val="00625CF1"/>
    <w:rsid w:val="00626240"/>
    <w:rsid w:val="0062651E"/>
    <w:rsid w:val="0062661F"/>
    <w:rsid w:val="00626652"/>
    <w:rsid w:val="0062669C"/>
    <w:rsid w:val="00626DAC"/>
    <w:rsid w:val="00626DB3"/>
    <w:rsid w:val="00626EDB"/>
    <w:rsid w:val="00626F03"/>
    <w:rsid w:val="0062729E"/>
    <w:rsid w:val="00627C70"/>
    <w:rsid w:val="00627E3D"/>
    <w:rsid w:val="00627EA7"/>
    <w:rsid w:val="00630333"/>
    <w:rsid w:val="00630421"/>
    <w:rsid w:val="00630699"/>
    <w:rsid w:val="00630C73"/>
    <w:rsid w:val="00632616"/>
    <w:rsid w:val="006326D5"/>
    <w:rsid w:val="00632AC0"/>
    <w:rsid w:val="00633352"/>
    <w:rsid w:val="006335B2"/>
    <w:rsid w:val="00633DC6"/>
    <w:rsid w:val="006340A8"/>
    <w:rsid w:val="00634AE5"/>
    <w:rsid w:val="00634B74"/>
    <w:rsid w:val="00634E67"/>
    <w:rsid w:val="006352E3"/>
    <w:rsid w:val="006355B2"/>
    <w:rsid w:val="0063577E"/>
    <w:rsid w:val="006358C5"/>
    <w:rsid w:val="006364A6"/>
    <w:rsid w:val="006377D0"/>
    <w:rsid w:val="00640014"/>
    <w:rsid w:val="006405C5"/>
    <w:rsid w:val="00640767"/>
    <w:rsid w:val="006418C0"/>
    <w:rsid w:val="00641988"/>
    <w:rsid w:val="00641F59"/>
    <w:rsid w:val="00642166"/>
    <w:rsid w:val="00642198"/>
    <w:rsid w:val="006424D4"/>
    <w:rsid w:val="00642520"/>
    <w:rsid w:val="0064282F"/>
    <w:rsid w:val="00642A8D"/>
    <w:rsid w:val="00642B71"/>
    <w:rsid w:val="00643744"/>
    <w:rsid w:val="00643AFC"/>
    <w:rsid w:val="00643B76"/>
    <w:rsid w:val="006446FF"/>
    <w:rsid w:val="00644858"/>
    <w:rsid w:val="0064493D"/>
    <w:rsid w:val="00645927"/>
    <w:rsid w:val="00645EDE"/>
    <w:rsid w:val="006464EA"/>
    <w:rsid w:val="00646787"/>
    <w:rsid w:val="00646896"/>
    <w:rsid w:val="00646E07"/>
    <w:rsid w:val="006470B1"/>
    <w:rsid w:val="00647188"/>
    <w:rsid w:val="00647AE9"/>
    <w:rsid w:val="00650AAD"/>
    <w:rsid w:val="0065193B"/>
    <w:rsid w:val="00651963"/>
    <w:rsid w:val="00651B04"/>
    <w:rsid w:val="006522C8"/>
    <w:rsid w:val="00652741"/>
    <w:rsid w:val="0065331F"/>
    <w:rsid w:val="00653F37"/>
    <w:rsid w:val="00653F9D"/>
    <w:rsid w:val="006542AE"/>
    <w:rsid w:val="0065444D"/>
    <w:rsid w:val="006545F9"/>
    <w:rsid w:val="0065474E"/>
    <w:rsid w:val="00654911"/>
    <w:rsid w:val="00654DA4"/>
    <w:rsid w:val="00655700"/>
    <w:rsid w:val="00655F2D"/>
    <w:rsid w:val="0066025E"/>
    <w:rsid w:val="0066059D"/>
    <w:rsid w:val="00660A1E"/>
    <w:rsid w:val="00662217"/>
    <w:rsid w:val="00662621"/>
    <w:rsid w:val="00662C53"/>
    <w:rsid w:val="00662D82"/>
    <w:rsid w:val="00662E93"/>
    <w:rsid w:val="00663A0C"/>
    <w:rsid w:val="00663A76"/>
    <w:rsid w:val="006642DD"/>
    <w:rsid w:val="00665039"/>
    <w:rsid w:val="006650E3"/>
    <w:rsid w:val="00666463"/>
    <w:rsid w:val="006668C6"/>
    <w:rsid w:val="006668FB"/>
    <w:rsid w:val="00666B71"/>
    <w:rsid w:val="00666BBF"/>
    <w:rsid w:val="00666E1E"/>
    <w:rsid w:val="006670A4"/>
    <w:rsid w:val="006675F7"/>
    <w:rsid w:val="00670191"/>
    <w:rsid w:val="00671B62"/>
    <w:rsid w:val="00671F99"/>
    <w:rsid w:val="0067274A"/>
    <w:rsid w:val="00672760"/>
    <w:rsid w:val="00672CB2"/>
    <w:rsid w:val="00673EA7"/>
    <w:rsid w:val="00675430"/>
    <w:rsid w:val="006756FB"/>
    <w:rsid w:val="00675861"/>
    <w:rsid w:val="006761BB"/>
    <w:rsid w:val="006777C6"/>
    <w:rsid w:val="00677AE8"/>
    <w:rsid w:val="00681ADE"/>
    <w:rsid w:val="00681BA2"/>
    <w:rsid w:val="00681D9A"/>
    <w:rsid w:val="00681ED2"/>
    <w:rsid w:val="00683122"/>
    <w:rsid w:val="00683468"/>
    <w:rsid w:val="00684226"/>
    <w:rsid w:val="00684854"/>
    <w:rsid w:val="00684D97"/>
    <w:rsid w:val="00684EF0"/>
    <w:rsid w:val="006866D8"/>
    <w:rsid w:val="00686DE1"/>
    <w:rsid w:val="006870EA"/>
    <w:rsid w:val="00690B34"/>
    <w:rsid w:val="00690B65"/>
    <w:rsid w:val="00690C43"/>
    <w:rsid w:val="00691784"/>
    <w:rsid w:val="00691AD3"/>
    <w:rsid w:val="00691E2C"/>
    <w:rsid w:val="00692F57"/>
    <w:rsid w:val="00693251"/>
    <w:rsid w:val="00693257"/>
    <w:rsid w:val="0069394A"/>
    <w:rsid w:val="00693AA7"/>
    <w:rsid w:val="00695B21"/>
    <w:rsid w:val="00696469"/>
    <w:rsid w:val="00696535"/>
    <w:rsid w:val="00696945"/>
    <w:rsid w:val="0069739B"/>
    <w:rsid w:val="006973EF"/>
    <w:rsid w:val="006977AB"/>
    <w:rsid w:val="006A0BD8"/>
    <w:rsid w:val="006A0D3B"/>
    <w:rsid w:val="006A0FC6"/>
    <w:rsid w:val="006A11F1"/>
    <w:rsid w:val="006A22A2"/>
    <w:rsid w:val="006A255F"/>
    <w:rsid w:val="006A2C21"/>
    <w:rsid w:val="006A2FF8"/>
    <w:rsid w:val="006A37BD"/>
    <w:rsid w:val="006A60F7"/>
    <w:rsid w:val="006A65DA"/>
    <w:rsid w:val="006A68D0"/>
    <w:rsid w:val="006A69B0"/>
    <w:rsid w:val="006A6DD9"/>
    <w:rsid w:val="006A75F4"/>
    <w:rsid w:val="006B021D"/>
    <w:rsid w:val="006B022C"/>
    <w:rsid w:val="006B07AB"/>
    <w:rsid w:val="006B0E15"/>
    <w:rsid w:val="006B11F8"/>
    <w:rsid w:val="006B169D"/>
    <w:rsid w:val="006B1765"/>
    <w:rsid w:val="006B1CD6"/>
    <w:rsid w:val="006B2A71"/>
    <w:rsid w:val="006B2C78"/>
    <w:rsid w:val="006B3286"/>
    <w:rsid w:val="006B3399"/>
    <w:rsid w:val="006B3FB4"/>
    <w:rsid w:val="006B4531"/>
    <w:rsid w:val="006B4F93"/>
    <w:rsid w:val="006B52CC"/>
    <w:rsid w:val="006B55C8"/>
    <w:rsid w:val="006B5A1F"/>
    <w:rsid w:val="006B6055"/>
    <w:rsid w:val="006B6123"/>
    <w:rsid w:val="006B62B6"/>
    <w:rsid w:val="006B701D"/>
    <w:rsid w:val="006B70B3"/>
    <w:rsid w:val="006C1B19"/>
    <w:rsid w:val="006C28F7"/>
    <w:rsid w:val="006C2EE6"/>
    <w:rsid w:val="006C32E3"/>
    <w:rsid w:val="006C33EE"/>
    <w:rsid w:val="006C385E"/>
    <w:rsid w:val="006C3A2B"/>
    <w:rsid w:val="006C410C"/>
    <w:rsid w:val="006C4528"/>
    <w:rsid w:val="006C5544"/>
    <w:rsid w:val="006C5562"/>
    <w:rsid w:val="006C5972"/>
    <w:rsid w:val="006C5A89"/>
    <w:rsid w:val="006C63C8"/>
    <w:rsid w:val="006C6C35"/>
    <w:rsid w:val="006C7457"/>
    <w:rsid w:val="006C7BD8"/>
    <w:rsid w:val="006D037E"/>
    <w:rsid w:val="006D054F"/>
    <w:rsid w:val="006D0A64"/>
    <w:rsid w:val="006D1201"/>
    <w:rsid w:val="006D12DB"/>
    <w:rsid w:val="006D1973"/>
    <w:rsid w:val="006D1F02"/>
    <w:rsid w:val="006D232E"/>
    <w:rsid w:val="006D26FE"/>
    <w:rsid w:val="006D2820"/>
    <w:rsid w:val="006D2A8F"/>
    <w:rsid w:val="006D39FA"/>
    <w:rsid w:val="006D464B"/>
    <w:rsid w:val="006D4724"/>
    <w:rsid w:val="006D4910"/>
    <w:rsid w:val="006D622B"/>
    <w:rsid w:val="006D6674"/>
    <w:rsid w:val="006D6766"/>
    <w:rsid w:val="006D796D"/>
    <w:rsid w:val="006D7BC9"/>
    <w:rsid w:val="006D7CB1"/>
    <w:rsid w:val="006E05DE"/>
    <w:rsid w:val="006E080E"/>
    <w:rsid w:val="006E1009"/>
    <w:rsid w:val="006E2D26"/>
    <w:rsid w:val="006E308B"/>
    <w:rsid w:val="006E3CDB"/>
    <w:rsid w:val="006E4D49"/>
    <w:rsid w:val="006E53FD"/>
    <w:rsid w:val="006E6ED3"/>
    <w:rsid w:val="006E7D16"/>
    <w:rsid w:val="006F0F19"/>
    <w:rsid w:val="006F1092"/>
    <w:rsid w:val="006F1775"/>
    <w:rsid w:val="006F2147"/>
    <w:rsid w:val="006F25B1"/>
    <w:rsid w:val="006F31A4"/>
    <w:rsid w:val="006F3439"/>
    <w:rsid w:val="006F3441"/>
    <w:rsid w:val="006F354E"/>
    <w:rsid w:val="006F3BAF"/>
    <w:rsid w:val="006F3E6F"/>
    <w:rsid w:val="006F43CD"/>
    <w:rsid w:val="006F4CD4"/>
    <w:rsid w:val="006F4FCC"/>
    <w:rsid w:val="006F52C1"/>
    <w:rsid w:val="006F5429"/>
    <w:rsid w:val="006F579A"/>
    <w:rsid w:val="006F79DC"/>
    <w:rsid w:val="006F7DC1"/>
    <w:rsid w:val="006F7ED4"/>
    <w:rsid w:val="006F7FF2"/>
    <w:rsid w:val="007003CE"/>
    <w:rsid w:val="00701B24"/>
    <w:rsid w:val="00701EE9"/>
    <w:rsid w:val="0070273F"/>
    <w:rsid w:val="007036AA"/>
    <w:rsid w:val="00703914"/>
    <w:rsid w:val="007043FD"/>
    <w:rsid w:val="007044A2"/>
    <w:rsid w:val="0070564F"/>
    <w:rsid w:val="00705698"/>
    <w:rsid w:val="00705ACA"/>
    <w:rsid w:val="00705ACC"/>
    <w:rsid w:val="00705FC5"/>
    <w:rsid w:val="00706065"/>
    <w:rsid w:val="007063F3"/>
    <w:rsid w:val="00706673"/>
    <w:rsid w:val="00707B9C"/>
    <w:rsid w:val="00707C09"/>
    <w:rsid w:val="00707D0B"/>
    <w:rsid w:val="00707FA2"/>
    <w:rsid w:val="00710172"/>
    <w:rsid w:val="00710FDF"/>
    <w:rsid w:val="007119D7"/>
    <w:rsid w:val="00711AAB"/>
    <w:rsid w:val="007128B3"/>
    <w:rsid w:val="0071300E"/>
    <w:rsid w:val="00713180"/>
    <w:rsid w:val="007138C6"/>
    <w:rsid w:val="00713D49"/>
    <w:rsid w:val="00714538"/>
    <w:rsid w:val="00714C7C"/>
    <w:rsid w:val="00714EDB"/>
    <w:rsid w:val="00716809"/>
    <w:rsid w:val="00716990"/>
    <w:rsid w:val="0072041E"/>
    <w:rsid w:val="0072050D"/>
    <w:rsid w:val="007206C5"/>
    <w:rsid w:val="00721219"/>
    <w:rsid w:val="00721592"/>
    <w:rsid w:val="00721A3B"/>
    <w:rsid w:val="00722555"/>
    <w:rsid w:val="007233E8"/>
    <w:rsid w:val="00723740"/>
    <w:rsid w:val="0072500B"/>
    <w:rsid w:val="00725BF5"/>
    <w:rsid w:val="007269DC"/>
    <w:rsid w:val="0072771E"/>
    <w:rsid w:val="00727D95"/>
    <w:rsid w:val="007300C8"/>
    <w:rsid w:val="0073040E"/>
    <w:rsid w:val="00731402"/>
    <w:rsid w:val="00731C94"/>
    <w:rsid w:val="00732211"/>
    <w:rsid w:val="00732A8F"/>
    <w:rsid w:val="00732B41"/>
    <w:rsid w:val="00732E68"/>
    <w:rsid w:val="007340DF"/>
    <w:rsid w:val="00734257"/>
    <w:rsid w:val="007345A8"/>
    <w:rsid w:val="00734BAF"/>
    <w:rsid w:val="007350B5"/>
    <w:rsid w:val="00735286"/>
    <w:rsid w:val="0073554A"/>
    <w:rsid w:val="00735F85"/>
    <w:rsid w:val="007360A2"/>
    <w:rsid w:val="007367AF"/>
    <w:rsid w:val="00736C95"/>
    <w:rsid w:val="00737786"/>
    <w:rsid w:val="00737C92"/>
    <w:rsid w:val="007400B3"/>
    <w:rsid w:val="00740C30"/>
    <w:rsid w:val="0074117B"/>
    <w:rsid w:val="00741A3A"/>
    <w:rsid w:val="00741D8C"/>
    <w:rsid w:val="007426D5"/>
    <w:rsid w:val="0074401C"/>
    <w:rsid w:val="0074473F"/>
    <w:rsid w:val="00744804"/>
    <w:rsid w:val="00744BF4"/>
    <w:rsid w:val="007459EF"/>
    <w:rsid w:val="00745B52"/>
    <w:rsid w:val="00745B5F"/>
    <w:rsid w:val="00745C9C"/>
    <w:rsid w:val="0074718D"/>
    <w:rsid w:val="0074742B"/>
    <w:rsid w:val="007506AC"/>
    <w:rsid w:val="00750DF3"/>
    <w:rsid w:val="007512A2"/>
    <w:rsid w:val="00751B61"/>
    <w:rsid w:val="00751D04"/>
    <w:rsid w:val="00751D8C"/>
    <w:rsid w:val="007522E6"/>
    <w:rsid w:val="00752781"/>
    <w:rsid w:val="00752990"/>
    <w:rsid w:val="00752C1D"/>
    <w:rsid w:val="007535DE"/>
    <w:rsid w:val="007541BE"/>
    <w:rsid w:val="007544DC"/>
    <w:rsid w:val="007550E9"/>
    <w:rsid w:val="007562C7"/>
    <w:rsid w:val="00756414"/>
    <w:rsid w:val="00756AB3"/>
    <w:rsid w:val="00756DD7"/>
    <w:rsid w:val="00757356"/>
    <w:rsid w:val="007574DD"/>
    <w:rsid w:val="007576C4"/>
    <w:rsid w:val="00760682"/>
    <w:rsid w:val="007606D7"/>
    <w:rsid w:val="00760D2E"/>
    <w:rsid w:val="00761B59"/>
    <w:rsid w:val="00761CAC"/>
    <w:rsid w:val="00762AAD"/>
    <w:rsid w:val="00762CB9"/>
    <w:rsid w:val="00764271"/>
    <w:rsid w:val="0076471B"/>
    <w:rsid w:val="007657F9"/>
    <w:rsid w:val="00765ADE"/>
    <w:rsid w:val="00765D19"/>
    <w:rsid w:val="007667FF"/>
    <w:rsid w:val="007669AF"/>
    <w:rsid w:val="00767823"/>
    <w:rsid w:val="00770014"/>
    <w:rsid w:val="00770509"/>
    <w:rsid w:val="0077057B"/>
    <w:rsid w:val="007709A1"/>
    <w:rsid w:val="00770BF1"/>
    <w:rsid w:val="00771876"/>
    <w:rsid w:val="00771ED8"/>
    <w:rsid w:val="00772D2B"/>
    <w:rsid w:val="00773811"/>
    <w:rsid w:val="00773B95"/>
    <w:rsid w:val="00774057"/>
    <w:rsid w:val="0077450F"/>
    <w:rsid w:val="00775119"/>
    <w:rsid w:val="007751F0"/>
    <w:rsid w:val="007755A1"/>
    <w:rsid w:val="00775716"/>
    <w:rsid w:val="0077618D"/>
    <w:rsid w:val="00776210"/>
    <w:rsid w:val="007762A1"/>
    <w:rsid w:val="00776A67"/>
    <w:rsid w:val="00776EB9"/>
    <w:rsid w:val="007771FA"/>
    <w:rsid w:val="007805A4"/>
    <w:rsid w:val="007807F6"/>
    <w:rsid w:val="0078091A"/>
    <w:rsid w:val="00780A50"/>
    <w:rsid w:val="00782577"/>
    <w:rsid w:val="00782728"/>
    <w:rsid w:val="00782DAA"/>
    <w:rsid w:val="00783549"/>
    <w:rsid w:val="0078368B"/>
    <w:rsid w:val="00783717"/>
    <w:rsid w:val="00783FA6"/>
    <w:rsid w:val="0078436B"/>
    <w:rsid w:val="00784666"/>
    <w:rsid w:val="007848B8"/>
    <w:rsid w:val="00785856"/>
    <w:rsid w:val="007862BB"/>
    <w:rsid w:val="00786A49"/>
    <w:rsid w:val="00787C52"/>
    <w:rsid w:val="00787E29"/>
    <w:rsid w:val="0079063F"/>
    <w:rsid w:val="007908AA"/>
    <w:rsid w:val="00790E63"/>
    <w:rsid w:val="007920A6"/>
    <w:rsid w:val="00793529"/>
    <w:rsid w:val="007951BF"/>
    <w:rsid w:val="007960EA"/>
    <w:rsid w:val="0079673F"/>
    <w:rsid w:val="007968A3"/>
    <w:rsid w:val="00796E90"/>
    <w:rsid w:val="00797184"/>
    <w:rsid w:val="00797537"/>
    <w:rsid w:val="00797A53"/>
    <w:rsid w:val="007A1AFE"/>
    <w:rsid w:val="007A1B28"/>
    <w:rsid w:val="007A1CEC"/>
    <w:rsid w:val="007A1ECB"/>
    <w:rsid w:val="007A20E4"/>
    <w:rsid w:val="007A2D23"/>
    <w:rsid w:val="007A2E22"/>
    <w:rsid w:val="007A3FE6"/>
    <w:rsid w:val="007A498D"/>
    <w:rsid w:val="007A4B83"/>
    <w:rsid w:val="007A5308"/>
    <w:rsid w:val="007A57D3"/>
    <w:rsid w:val="007A6DF1"/>
    <w:rsid w:val="007A7449"/>
    <w:rsid w:val="007A755E"/>
    <w:rsid w:val="007A7653"/>
    <w:rsid w:val="007B0665"/>
    <w:rsid w:val="007B1B3A"/>
    <w:rsid w:val="007B1DF0"/>
    <w:rsid w:val="007B1FCA"/>
    <w:rsid w:val="007B2208"/>
    <w:rsid w:val="007B24FD"/>
    <w:rsid w:val="007B32F3"/>
    <w:rsid w:val="007B36C8"/>
    <w:rsid w:val="007B3DC6"/>
    <w:rsid w:val="007B475A"/>
    <w:rsid w:val="007B571D"/>
    <w:rsid w:val="007B65F6"/>
    <w:rsid w:val="007B6692"/>
    <w:rsid w:val="007B686F"/>
    <w:rsid w:val="007B6918"/>
    <w:rsid w:val="007B6B64"/>
    <w:rsid w:val="007B6B7C"/>
    <w:rsid w:val="007B73FF"/>
    <w:rsid w:val="007B7732"/>
    <w:rsid w:val="007B78C1"/>
    <w:rsid w:val="007B79CE"/>
    <w:rsid w:val="007B7C81"/>
    <w:rsid w:val="007C031E"/>
    <w:rsid w:val="007C0C5A"/>
    <w:rsid w:val="007C0D1C"/>
    <w:rsid w:val="007C13FD"/>
    <w:rsid w:val="007C156D"/>
    <w:rsid w:val="007C1B00"/>
    <w:rsid w:val="007C1EF8"/>
    <w:rsid w:val="007C1F6A"/>
    <w:rsid w:val="007C22CE"/>
    <w:rsid w:val="007C332D"/>
    <w:rsid w:val="007C3609"/>
    <w:rsid w:val="007C4CA8"/>
    <w:rsid w:val="007C5003"/>
    <w:rsid w:val="007C50D0"/>
    <w:rsid w:val="007C5407"/>
    <w:rsid w:val="007C5A25"/>
    <w:rsid w:val="007C5EEC"/>
    <w:rsid w:val="007C605A"/>
    <w:rsid w:val="007C626E"/>
    <w:rsid w:val="007D0675"/>
    <w:rsid w:val="007D0DD9"/>
    <w:rsid w:val="007D1EC8"/>
    <w:rsid w:val="007D25B8"/>
    <w:rsid w:val="007D2B20"/>
    <w:rsid w:val="007D2BB3"/>
    <w:rsid w:val="007D332C"/>
    <w:rsid w:val="007D3561"/>
    <w:rsid w:val="007D3C98"/>
    <w:rsid w:val="007D4BC5"/>
    <w:rsid w:val="007D4F6F"/>
    <w:rsid w:val="007D51A7"/>
    <w:rsid w:val="007D5345"/>
    <w:rsid w:val="007D55B9"/>
    <w:rsid w:val="007D5781"/>
    <w:rsid w:val="007D6D14"/>
    <w:rsid w:val="007D734F"/>
    <w:rsid w:val="007D7B05"/>
    <w:rsid w:val="007E0070"/>
    <w:rsid w:val="007E0FDA"/>
    <w:rsid w:val="007E1A96"/>
    <w:rsid w:val="007E1F19"/>
    <w:rsid w:val="007E2372"/>
    <w:rsid w:val="007E2391"/>
    <w:rsid w:val="007E484A"/>
    <w:rsid w:val="007E5483"/>
    <w:rsid w:val="007E56BD"/>
    <w:rsid w:val="007E64CD"/>
    <w:rsid w:val="007E6BBA"/>
    <w:rsid w:val="007E733A"/>
    <w:rsid w:val="007E7B94"/>
    <w:rsid w:val="007F0796"/>
    <w:rsid w:val="007F0924"/>
    <w:rsid w:val="007F0ADB"/>
    <w:rsid w:val="007F13DF"/>
    <w:rsid w:val="007F1AB6"/>
    <w:rsid w:val="007F1FAE"/>
    <w:rsid w:val="007F2ADF"/>
    <w:rsid w:val="007F2C12"/>
    <w:rsid w:val="007F2D9E"/>
    <w:rsid w:val="007F4113"/>
    <w:rsid w:val="007F4C03"/>
    <w:rsid w:val="007F4EF4"/>
    <w:rsid w:val="007F5956"/>
    <w:rsid w:val="007F5BC1"/>
    <w:rsid w:val="007F66C4"/>
    <w:rsid w:val="007F6857"/>
    <w:rsid w:val="007F7042"/>
    <w:rsid w:val="007F71E9"/>
    <w:rsid w:val="007F741B"/>
    <w:rsid w:val="0080008C"/>
    <w:rsid w:val="008012E9"/>
    <w:rsid w:val="00802538"/>
    <w:rsid w:val="00802959"/>
    <w:rsid w:val="00803290"/>
    <w:rsid w:val="00803394"/>
    <w:rsid w:val="0080373B"/>
    <w:rsid w:val="008039FB"/>
    <w:rsid w:val="00803E32"/>
    <w:rsid w:val="008042E2"/>
    <w:rsid w:val="0080512B"/>
    <w:rsid w:val="00805C52"/>
    <w:rsid w:val="00806010"/>
    <w:rsid w:val="00807B01"/>
    <w:rsid w:val="008100CB"/>
    <w:rsid w:val="00810793"/>
    <w:rsid w:val="00810817"/>
    <w:rsid w:val="008108A4"/>
    <w:rsid w:val="00810A6D"/>
    <w:rsid w:val="00810EAC"/>
    <w:rsid w:val="00811C1F"/>
    <w:rsid w:val="00812208"/>
    <w:rsid w:val="0081232E"/>
    <w:rsid w:val="00812A59"/>
    <w:rsid w:val="0081429C"/>
    <w:rsid w:val="00814EF2"/>
    <w:rsid w:val="008154E8"/>
    <w:rsid w:val="00815B5E"/>
    <w:rsid w:val="008162BF"/>
    <w:rsid w:val="008166B5"/>
    <w:rsid w:val="00817029"/>
    <w:rsid w:val="008174AE"/>
    <w:rsid w:val="008177BF"/>
    <w:rsid w:val="00817947"/>
    <w:rsid w:val="00820018"/>
    <w:rsid w:val="008203A5"/>
    <w:rsid w:val="00820684"/>
    <w:rsid w:val="008206D0"/>
    <w:rsid w:val="008216AE"/>
    <w:rsid w:val="008219AC"/>
    <w:rsid w:val="00821A5E"/>
    <w:rsid w:val="00822193"/>
    <w:rsid w:val="008230C6"/>
    <w:rsid w:val="008232CB"/>
    <w:rsid w:val="00823644"/>
    <w:rsid w:val="00823DF7"/>
    <w:rsid w:val="00824659"/>
    <w:rsid w:val="00824724"/>
    <w:rsid w:val="00825C0C"/>
    <w:rsid w:val="00826B8B"/>
    <w:rsid w:val="0082714B"/>
    <w:rsid w:val="00827E9B"/>
    <w:rsid w:val="00830330"/>
    <w:rsid w:val="00830A30"/>
    <w:rsid w:val="00830D00"/>
    <w:rsid w:val="00831167"/>
    <w:rsid w:val="008313CD"/>
    <w:rsid w:val="008314D4"/>
    <w:rsid w:val="00831647"/>
    <w:rsid w:val="00831EFD"/>
    <w:rsid w:val="00831FBF"/>
    <w:rsid w:val="00832354"/>
    <w:rsid w:val="00832362"/>
    <w:rsid w:val="00832ADF"/>
    <w:rsid w:val="008340E1"/>
    <w:rsid w:val="00834401"/>
    <w:rsid w:val="00834D03"/>
    <w:rsid w:val="00834D7F"/>
    <w:rsid w:val="0083504C"/>
    <w:rsid w:val="0083518F"/>
    <w:rsid w:val="00835510"/>
    <w:rsid w:val="00835925"/>
    <w:rsid w:val="00835AF8"/>
    <w:rsid w:val="00835CB3"/>
    <w:rsid w:val="00835FEB"/>
    <w:rsid w:val="008366A8"/>
    <w:rsid w:val="00836FBC"/>
    <w:rsid w:val="00837223"/>
    <w:rsid w:val="0083738A"/>
    <w:rsid w:val="00837EB2"/>
    <w:rsid w:val="008403EF"/>
    <w:rsid w:val="00840B90"/>
    <w:rsid w:val="00840E13"/>
    <w:rsid w:val="00841A6B"/>
    <w:rsid w:val="008425DC"/>
    <w:rsid w:val="00842935"/>
    <w:rsid w:val="00842D8B"/>
    <w:rsid w:val="0084304A"/>
    <w:rsid w:val="00843C24"/>
    <w:rsid w:val="00843ED4"/>
    <w:rsid w:val="00844061"/>
    <w:rsid w:val="00844791"/>
    <w:rsid w:val="00845105"/>
    <w:rsid w:val="00845591"/>
    <w:rsid w:val="00845C0C"/>
    <w:rsid w:val="00845D93"/>
    <w:rsid w:val="008461CA"/>
    <w:rsid w:val="00846398"/>
    <w:rsid w:val="00847101"/>
    <w:rsid w:val="00847BFE"/>
    <w:rsid w:val="00850FD6"/>
    <w:rsid w:val="0085131C"/>
    <w:rsid w:val="00851784"/>
    <w:rsid w:val="00851AB5"/>
    <w:rsid w:val="00851E22"/>
    <w:rsid w:val="008525EF"/>
    <w:rsid w:val="00852E9B"/>
    <w:rsid w:val="00853713"/>
    <w:rsid w:val="00854622"/>
    <w:rsid w:val="0085464E"/>
    <w:rsid w:val="00854A9E"/>
    <w:rsid w:val="00854F03"/>
    <w:rsid w:val="008556A0"/>
    <w:rsid w:val="00855DCF"/>
    <w:rsid w:val="0085620A"/>
    <w:rsid w:val="008563C9"/>
    <w:rsid w:val="00856534"/>
    <w:rsid w:val="00856627"/>
    <w:rsid w:val="00856FC3"/>
    <w:rsid w:val="00857030"/>
    <w:rsid w:val="00857689"/>
    <w:rsid w:val="0085793E"/>
    <w:rsid w:val="00857BEE"/>
    <w:rsid w:val="00857CC9"/>
    <w:rsid w:val="008601D9"/>
    <w:rsid w:val="00860495"/>
    <w:rsid w:val="00860496"/>
    <w:rsid w:val="00860789"/>
    <w:rsid w:val="00860DD4"/>
    <w:rsid w:val="008615E6"/>
    <w:rsid w:val="00861A6F"/>
    <w:rsid w:val="008623DB"/>
    <w:rsid w:val="008629A4"/>
    <w:rsid w:val="00862B84"/>
    <w:rsid w:val="00862F70"/>
    <w:rsid w:val="00863938"/>
    <w:rsid w:val="008639BA"/>
    <w:rsid w:val="00864056"/>
    <w:rsid w:val="00864178"/>
    <w:rsid w:val="0086419D"/>
    <w:rsid w:val="008649D4"/>
    <w:rsid w:val="0086579F"/>
    <w:rsid w:val="00866769"/>
    <w:rsid w:val="00866790"/>
    <w:rsid w:val="008669F2"/>
    <w:rsid w:val="00866BEA"/>
    <w:rsid w:val="008672B5"/>
    <w:rsid w:val="0087015E"/>
    <w:rsid w:val="00871416"/>
    <w:rsid w:val="00871658"/>
    <w:rsid w:val="0087176B"/>
    <w:rsid w:val="008717A3"/>
    <w:rsid w:val="00871B31"/>
    <w:rsid w:val="00871B79"/>
    <w:rsid w:val="00871BDE"/>
    <w:rsid w:val="00872BE9"/>
    <w:rsid w:val="00872E74"/>
    <w:rsid w:val="008734E4"/>
    <w:rsid w:val="0087386E"/>
    <w:rsid w:val="00874E2B"/>
    <w:rsid w:val="00874F91"/>
    <w:rsid w:val="008760C3"/>
    <w:rsid w:val="008764DA"/>
    <w:rsid w:val="008765A6"/>
    <w:rsid w:val="008775A2"/>
    <w:rsid w:val="00880488"/>
    <w:rsid w:val="008809D2"/>
    <w:rsid w:val="00880AA7"/>
    <w:rsid w:val="00880B89"/>
    <w:rsid w:val="0088171E"/>
    <w:rsid w:val="00881BAF"/>
    <w:rsid w:val="00882524"/>
    <w:rsid w:val="00882620"/>
    <w:rsid w:val="00883750"/>
    <w:rsid w:val="00883DB6"/>
    <w:rsid w:val="008858DC"/>
    <w:rsid w:val="008865FF"/>
    <w:rsid w:val="0088705E"/>
    <w:rsid w:val="008871FF"/>
    <w:rsid w:val="00887314"/>
    <w:rsid w:val="008874FF"/>
    <w:rsid w:val="00887C73"/>
    <w:rsid w:val="00887E5F"/>
    <w:rsid w:val="008901AE"/>
    <w:rsid w:val="00890A26"/>
    <w:rsid w:val="00890F39"/>
    <w:rsid w:val="0089103F"/>
    <w:rsid w:val="0089167A"/>
    <w:rsid w:val="00891AA0"/>
    <w:rsid w:val="00892B89"/>
    <w:rsid w:val="008939CC"/>
    <w:rsid w:val="00895957"/>
    <w:rsid w:val="008959D1"/>
    <w:rsid w:val="00895ED0"/>
    <w:rsid w:val="00896924"/>
    <w:rsid w:val="00896D25"/>
    <w:rsid w:val="00896E7B"/>
    <w:rsid w:val="00897019"/>
    <w:rsid w:val="008976C2"/>
    <w:rsid w:val="008977DD"/>
    <w:rsid w:val="00897CAF"/>
    <w:rsid w:val="008A0280"/>
    <w:rsid w:val="008A043B"/>
    <w:rsid w:val="008A0686"/>
    <w:rsid w:val="008A0772"/>
    <w:rsid w:val="008A0844"/>
    <w:rsid w:val="008A15C8"/>
    <w:rsid w:val="008A1656"/>
    <w:rsid w:val="008A19EA"/>
    <w:rsid w:val="008A2AD3"/>
    <w:rsid w:val="008A2EB3"/>
    <w:rsid w:val="008A3253"/>
    <w:rsid w:val="008A3362"/>
    <w:rsid w:val="008A3730"/>
    <w:rsid w:val="008A3743"/>
    <w:rsid w:val="008A3A1F"/>
    <w:rsid w:val="008A46B9"/>
    <w:rsid w:val="008A4AAB"/>
    <w:rsid w:val="008A4B3F"/>
    <w:rsid w:val="008A500C"/>
    <w:rsid w:val="008A5EEC"/>
    <w:rsid w:val="008A61CF"/>
    <w:rsid w:val="008A6429"/>
    <w:rsid w:val="008A6453"/>
    <w:rsid w:val="008A7DF9"/>
    <w:rsid w:val="008B02A0"/>
    <w:rsid w:val="008B0920"/>
    <w:rsid w:val="008B0EA4"/>
    <w:rsid w:val="008B1454"/>
    <w:rsid w:val="008B188A"/>
    <w:rsid w:val="008B1934"/>
    <w:rsid w:val="008B1953"/>
    <w:rsid w:val="008B1AC0"/>
    <w:rsid w:val="008B2642"/>
    <w:rsid w:val="008B2873"/>
    <w:rsid w:val="008B2FF1"/>
    <w:rsid w:val="008B367D"/>
    <w:rsid w:val="008B3E67"/>
    <w:rsid w:val="008B4CF3"/>
    <w:rsid w:val="008B53D3"/>
    <w:rsid w:val="008B66BE"/>
    <w:rsid w:val="008C0230"/>
    <w:rsid w:val="008C02CD"/>
    <w:rsid w:val="008C02FD"/>
    <w:rsid w:val="008C0555"/>
    <w:rsid w:val="008C141B"/>
    <w:rsid w:val="008C1876"/>
    <w:rsid w:val="008C2213"/>
    <w:rsid w:val="008C2309"/>
    <w:rsid w:val="008C2433"/>
    <w:rsid w:val="008C25DE"/>
    <w:rsid w:val="008C2943"/>
    <w:rsid w:val="008C2B75"/>
    <w:rsid w:val="008C2EBB"/>
    <w:rsid w:val="008C2F5F"/>
    <w:rsid w:val="008C355D"/>
    <w:rsid w:val="008C37C6"/>
    <w:rsid w:val="008C38E8"/>
    <w:rsid w:val="008C3DDA"/>
    <w:rsid w:val="008C4196"/>
    <w:rsid w:val="008C5812"/>
    <w:rsid w:val="008C5A74"/>
    <w:rsid w:val="008C5AF3"/>
    <w:rsid w:val="008C5F12"/>
    <w:rsid w:val="008C68D3"/>
    <w:rsid w:val="008C7CEA"/>
    <w:rsid w:val="008D1DA6"/>
    <w:rsid w:val="008D2213"/>
    <w:rsid w:val="008D28F0"/>
    <w:rsid w:val="008D2928"/>
    <w:rsid w:val="008D29EC"/>
    <w:rsid w:val="008D2DE6"/>
    <w:rsid w:val="008D3134"/>
    <w:rsid w:val="008D3BA8"/>
    <w:rsid w:val="008D413E"/>
    <w:rsid w:val="008D5469"/>
    <w:rsid w:val="008D6327"/>
    <w:rsid w:val="008D69A0"/>
    <w:rsid w:val="008D6E3F"/>
    <w:rsid w:val="008D7774"/>
    <w:rsid w:val="008E0149"/>
    <w:rsid w:val="008E020A"/>
    <w:rsid w:val="008E026A"/>
    <w:rsid w:val="008E14D0"/>
    <w:rsid w:val="008E1B30"/>
    <w:rsid w:val="008E23DF"/>
    <w:rsid w:val="008E25FF"/>
    <w:rsid w:val="008E27EA"/>
    <w:rsid w:val="008E2C57"/>
    <w:rsid w:val="008E34BE"/>
    <w:rsid w:val="008E507F"/>
    <w:rsid w:val="008E5671"/>
    <w:rsid w:val="008E60C2"/>
    <w:rsid w:val="008E648D"/>
    <w:rsid w:val="008E6F31"/>
    <w:rsid w:val="008E7F86"/>
    <w:rsid w:val="008F0675"/>
    <w:rsid w:val="008F14E2"/>
    <w:rsid w:val="008F1510"/>
    <w:rsid w:val="008F15A3"/>
    <w:rsid w:val="008F1A23"/>
    <w:rsid w:val="008F2004"/>
    <w:rsid w:val="008F289F"/>
    <w:rsid w:val="008F2AAC"/>
    <w:rsid w:val="008F3277"/>
    <w:rsid w:val="008F32A4"/>
    <w:rsid w:val="008F330D"/>
    <w:rsid w:val="008F4782"/>
    <w:rsid w:val="008F48A6"/>
    <w:rsid w:val="008F4B07"/>
    <w:rsid w:val="008F50DE"/>
    <w:rsid w:val="008F5404"/>
    <w:rsid w:val="008F5551"/>
    <w:rsid w:val="008F5F9A"/>
    <w:rsid w:val="008F6471"/>
    <w:rsid w:val="008F657E"/>
    <w:rsid w:val="008F774A"/>
    <w:rsid w:val="008F7AAF"/>
    <w:rsid w:val="00900592"/>
    <w:rsid w:val="00900655"/>
    <w:rsid w:val="009006AC"/>
    <w:rsid w:val="00900CB0"/>
    <w:rsid w:val="00900E7A"/>
    <w:rsid w:val="00902633"/>
    <w:rsid w:val="00902AE0"/>
    <w:rsid w:val="0090310A"/>
    <w:rsid w:val="00903CE3"/>
    <w:rsid w:val="00904048"/>
    <w:rsid w:val="009042F4"/>
    <w:rsid w:val="0090432F"/>
    <w:rsid w:val="009048BA"/>
    <w:rsid w:val="009050C1"/>
    <w:rsid w:val="00905CE8"/>
    <w:rsid w:val="00906112"/>
    <w:rsid w:val="009061CD"/>
    <w:rsid w:val="0090654A"/>
    <w:rsid w:val="00906CFF"/>
    <w:rsid w:val="00907A26"/>
    <w:rsid w:val="00907BBD"/>
    <w:rsid w:val="00910104"/>
    <w:rsid w:val="009101B3"/>
    <w:rsid w:val="00910264"/>
    <w:rsid w:val="009105A8"/>
    <w:rsid w:val="009110AF"/>
    <w:rsid w:val="00912212"/>
    <w:rsid w:val="0091330F"/>
    <w:rsid w:val="00913D0D"/>
    <w:rsid w:val="00913D13"/>
    <w:rsid w:val="00914370"/>
    <w:rsid w:val="00914660"/>
    <w:rsid w:val="009147B0"/>
    <w:rsid w:val="00914EDA"/>
    <w:rsid w:val="009151F6"/>
    <w:rsid w:val="00916536"/>
    <w:rsid w:val="00916CEF"/>
    <w:rsid w:val="00917295"/>
    <w:rsid w:val="00920F1C"/>
    <w:rsid w:val="0092222F"/>
    <w:rsid w:val="0092330B"/>
    <w:rsid w:val="00923D17"/>
    <w:rsid w:val="00923D3C"/>
    <w:rsid w:val="00923E25"/>
    <w:rsid w:val="00923FBD"/>
    <w:rsid w:val="00924022"/>
    <w:rsid w:val="00924A37"/>
    <w:rsid w:val="00924C34"/>
    <w:rsid w:val="00925AAF"/>
    <w:rsid w:val="009266F8"/>
    <w:rsid w:val="009269FC"/>
    <w:rsid w:val="00926DB0"/>
    <w:rsid w:val="0092749F"/>
    <w:rsid w:val="00927853"/>
    <w:rsid w:val="0093048B"/>
    <w:rsid w:val="009305FD"/>
    <w:rsid w:val="0093079B"/>
    <w:rsid w:val="0093097E"/>
    <w:rsid w:val="0093135A"/>
    <w:rsid w:val="00932AE7"/>
    <w:rsid w:val="00932D9D"/>
    <w:rsid w:val="00934F38"/>
    <w:rsid w:val="009350F5"/>
    <w:rsid w:val="009357A6"/>
    <w:rsid w:val="00935AD3"/>
    <w:rsid w:val="009367A1"/>
    <w:rsid w:val="0093687F"/>
    <w:rsid w:val="00936C5A"/>
    <w:rsid w:val="00936E2D"/>
    <w:rsid w:val="00936F30"/>
    <w:rsid w:val="0093701B"/>
    <w:rsid w:val="009372DE"/>
    <w:rsid w:val="009373B7"/>
    <w:rsid w:val="009402E0"/>
    <w:rsid w:val="00940573"/>
    <w:rsid w:val="00942104"/>
    <w:rsid w:val="009425A5"/>
    <w:rsid w:val="00943AB4"/>
    <w:rsid w:val="00943C98"/>
    <w:rsid w:val="00944332"/>
    <w:rsid w:val="009462CE"/>
    <w:rsid w:val="0094637B"/>
    <w:rsid w:val="009467B4"/>
    <w:rsid w:val="0094699A"/>
    <w:rsid w:val="00946DC1"/>
    <w:rsid w:val="009478E5"/>
    <w:rsid w:val="00950EEC"/>
    <w:rsid w:val="0095197E"/>
    <w:rsid w:val="0095211C"/>
    <w:rsid w:val="00952534"/>
    <w:rsid w:val="00952CBB"/>
    <w:rsid w:val="00952D1A"/>
    <w:rsid w:val="00953BE5"/>
    <w:rsid w:val="00954683"/>
    <w:rsid w:val="00954A51"/>
    <w:rsid w:val="00954D4D"/>
    <w:rsid w:val="0095510A"/>
    <w:rsid w:val="009553CE"/>
    <w:rsid w:val="009553DD"/>
    <w:rsid w:val="00955761"/>
    <w:rsid w:val="00955BF3"/>
    <w:rsid w:val="00956402"/>
    <w:rsid w:val="00956CC1"/>
    <w:rsid w:val="00956EA9"/>
    <w:rsid w:val="0095723E"/>
    <w:rsid w:val="009572BF"/>
    <w:rsid w:val="009576E6"/>
    <w:rsid w:val="009605B1"/>
    <w:rsid w:val="00960D13"/>
    <w:rsid w:val="00960E55"/>
    <w:rsid w:val="00961070"/>
    <w:rsid w:val="00961DCC"/>
    <w:rsid w:val="00961F26"/>
    <w:rsid w:val="0096224F"/>
    <w:rsid w:val="00962D34"/>
    <w:rsid w:val="0096353C"/>
    <w:rsid w:val="00963C2C"/>
    <w:rsid w:val="00964732"/>
    <w:rsid w:val="00965438"/>
    <w:rsid w:val="00965473"/>
    <w:rsid w:val="00965614"/>
    <w:rsid w:val="00965F31"/>
    <w:rsid w:val="00966709"/>
    <w:rsid w:val="0096764D"/>
    <w:rsid w:val="00967D3D"/>
    <w:rsid w:val="00970585"/>
    <w:rsid w:val="00970D40"/>
    <w:rsid w:val="009714EE"/>
    <w:rsid w:val="009718F3"/>
    <w:rsid w:val="00971C3D"/>
    <w:rsid w:val="00972FDB"/>
    <w:rsid w:val="0097358A"/>
    <w:rsid w:val="009740C9"/>
    <w:rsid w:val="00975171"/>
    <w:rsid w:val="00975790"/>
    <w:rsid w:val="00975D32"/>
    <w:rsid w:val="0097602C"/>
    <w:rsid w:val="0097621F"/>
    <w:rsid w:val="00976FC5"/>
    <w:rsid w:val="0097729E"/>
    <w:rsid w:val="009775F8"/>
    <w:rsid w:val="009776FE"/>
    <w:rsid w:val="00977C8D"/>
    <w:rsid w:val="0098044D"/>
    <w:rsid w:val="009804A5"/>
    <w:rsid w:val="0098154B"/>
    <w:rsid w:val="009818DF"/>
    <w:rsid w:val="00981C96"/>
    <w:rsid w:val="00982540"/>
    <w:rsid w:val="00982D98"/>
    <w:rsid w:val="00982EBD"/>
    <w:rsid w:val="00983004"/>
    <w:rsid w:val="0098303E"/>
    <w:rsid w:val="0098392B"/>
    <w:rsid w:val="00983EBE"/>
    <w:rsid w:val="009844B4"/>
    <w:rsid w:val="0098473F"/>
    <w:rsid w:val="00984D07"/>
    <w:rsid w:val="009851C1"/>
    <w:rsid w:val="00985323"/>
    <w:rsid w:val="009863E9"/>
    <w:rsid w:val="009863F2"/>
    <w:rsid w:val="0098647F"/>
    <w:rsid w:val="0098677E"/>
    <w:rsid w:val="009868B2"/>
    <w:rsid w:val="00986C24"/>
    <w:rsid w:val="00987950"/>
    <w:rsid w:val="009901CA"/>
    <w:rsid w:val="00990D9F"/>
    <w:rsid w:val="0099215F"/>
    <w:rsid w:val="00992305"/>
    <w:rsid w:val="00992394"/>
    <w:rsid w:val="009925C4"/>
    <w:rsid w:val="009928F8"/>
    <w:rsid w:val="00992E54"/>
    <w:rsid w:val="00993B28"/>
    <w:rsid w:val="00993EE9"/>
    <w:rsid w:val="00994018"/>
    <w:rsid w:val="00994CAB"/>
    <w:rsid w:val="00995D58"/>
    <w:rsid w:val="00995E35"/>
    <w:rsid w:val="009964CA"/>
    <w:rsid w:val="00996502"/>
    <w:rsid w:val="009974DD"/>
    <w:rsid w:val="00997C0F"/>
    <w:rsid w:val="00997D0B"/>
    <w:rsid w:val="009A0331"/>
    <w:rsid w:val="009A0A4B"/>
    <w:rsid w:val="009A0A77"/>
    <w:rsid w:val="009A2732"/>
    <w:rsid w:val="009A2883"/>
    <w:rsid w:val="009A29D6"/>
    <w:rsid w:val="009A3731"/>
    <w:rsid w:val="009A46EC"/>
    <w:rsid w:val="009A5171"/>
    <w:rsid w:val="009A542E"/>
    <w:rsid w:val="009A5507"/>
    <w:rsid w:val="009A67AE"/>
    <w:rsid w:val="009A69AE"/>
    <w:rsid w:val="009A6B09"/>
    <w:rsid w:val="009A6DD6"/>
    <w:rsid w:val="009A7D2C"/>
    <w:rsid w:val="009B0131"/>
    <w:rsid w:val="009B0E85"/>
    <w:rsid w:val="009B102D"/>
    <w:rsid w:val="009B1032"/>
    <w:rsid w:val="009B1BB4"/>
    <w:rsid w:val="009B2D2B"/>
    <w:rsid w:val="009B31C3"/>
    <w:rsid w:val="009B3235"/>
    <w:rsid w:val="009B35AE"/>
    <w:rsid w:val="009B3D29"/>
    <w:rsid w:val="009B3FC6"/>
    <w:rsid w:val="009B4357"/>
    <w:rsid w:val="009B4703"/>
    <w:rsid w:val="009B4C2A"/>
    <w:rsid w:val="009B4F7B"/>
    <w:rsid w:val="009B506B"/>
    <w:rsid w:val="009B61C4"/>
    <w:rsid w:val="009B6E70"/>
    <w:rsid w:val="009B6FAD"/>
    <w:rsid w:val="009B74D5"/>
    <w:rsid w:val="009B74DB"/>
    <w:rsid w:val="009C0990"/>
    <w:rsid w:val="009C0AEC"/>
    <w:rsid w:val="009C1506"/>
    <w:rsid w:val="009C1CB7"/>
    <w:rsid w:val="009C20D2"/>
    <w:rsid w:val="009C23D7"/>
    <w:rsid w:val="009C272C"/>
    <w:rsid w:val="009C2994"/>
    <w:rsid w:val="009C3349"/>
    <w:rsid w:val="009C3471"/>
    <w:rsid w:val="009C3AE5"/>
    <w:rsid w:val="009C42A9"/>
    <w:rsid w:val="009C4336"/>
    <w:rsid w:val="009C4EC5"/>
    <w:rsid w:val="009C5919"/>
    <w:rsid w:val="009C6195"/>
    <w:rsid w:val="009C6A65"/>
    <w:rsid w:val="009C6A9A"/>
    <w:rsid w:val="009C7218"/>
    <w:rsid w:val="009C73C8"/>
    <w:rsid w:val="009C7E3A"/>
    <w:rsid w:val="009C7F51"/>
    <w:rsid w:val="009D00F4"/>
    <w:rsid w:val="009D03C0"/>
    <w:rsid w:val="009D17F8"/>
    <w:rsid w:val="009D23A9"/>
    <w:rsid w:val="009D2C23"/>
    <w:rsid w:val="009D3304"/>
    <w:rsid w:val="009D3B8C"/>
    <w:rsid w:val="009D3E09"/>
    <w:rsid w:val="009D445D"/>
    <w:rsid w:val="009D4B56"/>
    <w:rsid w:val="009D502D"/>
    <w:rsid w:val="009D516A"/>
    <w:rsid w:val="009D5582"/>
    <w:rsid w:val="009D55CF"/>
    <w:rsid w:val="009D56EC"/>
    <w:rsid w:val="009D57F5"/>
    <w:rsid w:val="009D5BBB"/>
    <w:rsid w:val="009D66A8"/>
    <w:rsid w:val="009D695C"/>
    <w:rsid w:val="009D78FA"/>
    <w:rsid w:val="009D7A4B"/>
    <w:rsid w:val="009E0883"/>
    <w:rsid w:val="009E0CE3"/>
    <w:rsid w:val="009E1BFA"/>
    <w:rsid w:val="009E2087"/>
    <w:rsid w:val="009E2BD2"/>
    <w:rsid w:val="009E3323"/>
    <w:rsid w:val="009E3B45"/>
    <w:rsid w:val="009E3BC8"/>
    <w:rsid w:val="009E40A7"/>
    <w:rsid w:val="009E4469"/>
    <w:rsid w:val="009E466A"/>
    <w:rsid w:val="009E51D3"/>
    <w:rsid w:val="009E5D85"/>
    <w:rsid w:val="009E5E36"/>
    <w:rsid w:val="009E6872"/>
    <w:rsid w:val="009E77BC"/>
    <w:rsid w:val="009E7BDC"/>
    <w:rsid w:val="009F0E25"/>
    <w:rsid w:val="009F0F4D"/>
    <w:rsid w:val="009F143C"/>
    <w:rsid w:val="009F17E2"/>
    <w:rsid w:val="009F1EA6"/>
    <w:rsid w:val="009F2093"/>
    <w:rsid w:val="009F2548"/>
    <w:rsid w:val="009F2D5E"/>
    <w:rsid w:val="009F31D1"/>
    <w:rsid w:val="009F3793"/>
    <w:rsid w:val="009F48CB"/>
    <w:rsid w:val="009F4DCD"/>
    <w:rsid w:val="009F5225"/>
    <w:rsid w:val="009F5531"/>
    <w:rsid w:val="009F5A5F"/>
    <w:rsid w:val="009F5AAC"/>
    <w:rsid w:val="009F60BC"/>
    <w:rsid w:val="009F671D"/>
    <w:rsid w:val="009F6D1B"/>
    <w:rsid w:val="00A006F5"/>
    <w:rsid w:val="00A00A97"/>
    <w:rsid w:val="00A01A9D"/>
    <w:rsid w:val="00A01CE6"/>
    <w:rsid w:val="00A02159"/>
    <w:rsid w:val="00A02AD3"/>
    <w:rsid w:val="00A02BCE"/>
    <w:rsid w:val="00A035A3"/>
    <w:rsid w:val="00A03CCA"/>
    <w:rsid w:val="00A04068"/>
    <w:rsid w:val="00A0497D"/>
    <w:rsid w:val="00A04A11"/>
    <w:rsid w:val="00A0539E"/>
    <w:rsid w:val="00A05B70"/>
    <w:rsid w:val="00A07426"/>
    <w:rsid w:val="00A0742B"/>
    <w:rsid w:val="00A10386"/>
    <w:rsid w:val="00A10BE5"/>
    <w:rsid w:val="00A11141"/>
    <w:rsid w:val="00A119E3"/>
    <w:rsid w:val="00A11C6C"/>
    <w:rsid w:val="00A12896"/>
    <w:rsid w:val="00A1304E"/>
    <w:rsid w:val="00A13A27"/>
    <w:rsid w:val="00A143BB"/>
    <w:rsid w:val="00A1456A"/>
    <w:rsid w:val="00A1599E"/>
    <w:rsid w:val="00A15E08"/>
    <w:rsid w:val="00A1672A"/>
    <w:rsid w:val="00A16987"/>
    <w:rsid w:val="00A16E3B"/>
    <w:rsid w:val="00A170CF"/>
    <w:rsid w:val="00A20094"/>
    <w:rsid w:val="00A20D5F"/>
    <w:rsid w:val="00A21032"/>
    <w:rsid w:val="00A218E1"/>
    <w:rsid w:val="00A226BD"/>
    <w:rsid w:val="00A22DC0"/>
    <w:rsid w:val="00A23E18"/>
    <w:rsid w:val="00A24A93"/>
    <w:rsid w:val="00A24C4E"/>
    <w:rsid w:val="00A24F30"/>
    <w:rsid w:val="00A26D01"/>
    <w:rsid w:val="00A26D1F"/>
    <w:rsid w:val="00A26EB2"/>
    <w:rsid w:val="00A270B3"/>
    <w:rsid w:val="00A274BB"/>
    <w:rsid w:val="00A275A6"/>
    <w:rsid w:val="00A27697"/>
    <w:rsid w:val="00A27B74"/>
    <w:rsid w:val="00A27CAC"/>
    <w:rsid w:val="00A27D9B"/>
    <w:rsid w:val="00A30156"/>
    <w:rsid w:val="00A305D7"/>
    <w:rsid w:val="00A306D9"/>
    <w:rsid w:val="00A30AB8"/>
    <w:rsid w:val="00A30F8D"/>
    <w:rsid w:val="00A31A08"/>
    <w:rsid w:val="00A3482C"/>
    <w:rsid w:val="00A34BF0"/>
    <w:rsid w:val="00A34E54"/>
    <w:rsid w:val="00A34FB8"/>
    <w:rsid w:val="00A34FE4"/>
    <w:rsid w:val="00A35037"/>
    <w:rsid w:val="00A369FC"/>
    <w:rsid w:val="00A36F75"/>
    <w:rsid w:val="00A37293"/>
    <w:rsid w:val="00A3753A"/>
    <w:rsid w:val="00A4001B"/>
    <w:rsid w:val="00A4109E"/>
    <w:rsid w:val="00A416E3"/>
    <w:rsid w:val="00A41705"/>
    <w:rsid w:val="00A4195D"/>
    <w:rsid w:val="00A41A2F"/>
    <w:rsid w:val="00A42115"/>
    <w:rsid w:val="00A42BD2"/>
    <w:rsid w:val="00A42F46"/>
    <w:rsid w:val="00A43283"/>
    <w:rsid w:val="00A439F4"/>
    <w:rsid w:val="00A43AAB"/>
    <w:rsid w:val="00A440AB"/>
    <w:rsid w:val="00A444AA"/>
    <w:rsid w:val="00A456B7"/>
    <w:rsid w:val="00A456F8"/>
    <w:rsid w:val="00A46229"/>
    <w:rsid w:val="00A472AB"/>
    <w:rsid w:val="00A47934"/>
    <w:rsid w:val="00A47B0D"/>
    <w:rsid w:val="00A50AD6"/>
    <w:rsid w:val="00A510AB"/>
    <w:rsid w:val="00A517DC"/>
    <w:rsid w:val="00A51A44"/>
    <w:rsid w:val="00A51D18"/>
    <w:rsid w:val="00A521BD"/>
    <w:rsid w:val="00A53412"/>
    <w:rsid w:val="00A53630"/>
    <w:rsid w:val="00A53F0B"/>
    <w:rsid w:val="00A54372"/>
    <w:rsid w:val="00A55A43"/>
    <w:rsid w:val="00A55C92"/>
    <w:rsid w:val="00A56930"/>
    <w:rsid w:val="00A56EF4"/>
    <w:rsid w:val="00A57898"/>
    <w:rsid w:val="00A57A96"/>
    <w:rsid w:val="00A57B1E"/>
    <w:rsid w:val="00A57B55"/>
    <w:rsid w:val="00A57B7F"/>
    <w:rsid w:val="00A601CA"/>
    <w:rsid w:val="00A60625"/>
    <w:rsid w:val="00A60BF4"/>
    <w:rsid w:val="00A60DDD"/>
    <w:rsid w:val="00A61D22"/>
    <w:rsid w:val="00A62FB6"/>
    <w:rsid w:val="00A63666"/>
    <w:rsid w:val="00A63E63"/>
    <w:rsid w:val="00A63F62"/>
    <w:rsid w:val="00A63FD4"/>
    <w:rsid w:val="00A64D7C"/>
    <w:rsid w:val="00A64FC5"/>
    <w:rsid w:val="00A6505F"/>
    <w:rsid w:val="00A65AB6"/>
    <w:rsid w:val="00A6700A"/>
    <w:rsid w:val="00A67350"/>
    <w:rsid w:val="00A673EC"/>
    <w:rsid w:val="00A67551"/>
    <w:rsid w:val="00A705FD"/>
    <w:rsid w:val="00A71C63"/>
    <w:rsid w:val="00A71D3F"/>
    <w:rsid w:val="00A71E58"/>
    <w:rsid w:val="00A72264"/>
    <w:rsid w:val="00A729A8"/>
    <w:rsid w:val="00A72F5C"/>
    <w:rsid w:val="00A73130"/>
    <w:rsid w:val="00A74D16"/>
    <w:rsid w:val="00A75822"/>
    <w:rsid w:val="00A75DC7"/>
    <w:rsid w:val="00A75E3B"/>
    <w:rsid w:val="00A763D2"/>
    <w:rsid w:val="00A76C15"/>
    <w:rsid w:val="00A76CFC"/>
    <w:rsid w:val="00A777FF"/>
    <w:rsid w:val="00A77B44"/>
    <w:rsid w:val="00A80CB1"/>
    <w:rsid w:val="00A8189E"/>
    <w:rsid w:val="00A81B19"/>
    <w:rsid w:val="00A8260A"/>
    <w:rsid w:val="00A83003"/>
    <w:rsid w:val="00A83DCD"/>
    <w:rsid w:val="00A8451B"/>
    <w:rsid w:val="00A84B8A"/>
    <w:rsid w:val="00A84CA2"/>
    <w:rsid w:val="00A850F1"/>
    <w:rsid w:val="00A8537F"/>
    <w:rsid w:val="00A8540A"/>
    <w:rsid w:val="00A859F1"/>
    <w:rsid w:val="00A85AE9"/>
    <w:rsid w:val="00A85F3D"/>
    <w:rsid w:val="00A86B5B"/>
    <w:rsid w:val="00A86CB2"/>
    <w:rsid w:val="00A86D8F"/>
    <w:rsid w:val="00A8702D"/>
    <w:rsid w:val="00A870E0"/>
    <w:rsid w:val="00A871AB"/>
    <w:rsid w:val="00A87798"/>
    <w:rsid w:val="00A90201"/>
    <w:rsid w:val="00A91A1E"/>
    <w:rsid w:val="00A91AE1"/>
    <w:rsid w:val="00A92BBF"/>
    <w:rsid w:val="00A92D8E"/>
    <w:rsid w:val="00A92E45"/>
    <w:rsid w:val="00A92EA2"/>
    <w:rsid w:val="00A93359"/>
    <w:rsid w:val="00A9374A"/>
    <w:rsid w:val="00A94150"/>
    <w:rsid w:val="00A9467B"/>
    <w:rsid w:val="00A95723"/>
    <w:rsid w:val="00A96E1B"/>
    <w:rsid w:val="00A96F9C"/>
    <w:rsid w:val="00A9786F"/>
    <w:rsid w:val="00A97A3B"/>
    <w:rsid w:val="00A97DF4"/>
    <w:rsid w:val="00AA0928"/>
    <w:rsid w:val="00AA2B22"/>
    <w:rsid w:val="00AA2EAB"/>
    <w:rsid w:val="00AA304F"/>
    <w:rsid w:val="00AA3258"/>
    <w:rsid w:val="00AA3A59"/>
    <w:rsid w:val="00AA3D68"/>
    <w:rsid w:val="00AA43B1"/>
    <w:rsid w:val="00AA4AA1"/>
    <w:rsid w:val="00AA4E9F"/>
    <w:rsid w:val="00AA57DB"/>
    <w:rsid w:val="00AA5B05"/>
    <w:rsid w:val="00AA6180"/>
    <w:rsid w:val="00AA65AF"/>
    <w:rsid w:val="00AA6DEE"/>
    <w:rsid w:val="00AA6FE5"/>
    <w:rsid w:val="00AA701F"/>
    <w:rsid w:val="00AB1C6E"/>
    <w:rsid w:val="00AB2159"/>
    <w:rsid w:val="00AB3A17"/>
    <w:rsid w:val="00AB3E5F"/>
    <w:rsid w:val="00AB532E"/>
    <w:rsid w:val="00AB53E8"/>
    <w:rsid w:val="00AB5575"/>
    <w:rsid w:val="00AB5DAA"/>
    <w:rsid w:val="00AB5ED3"/>
    <w:rsid w:val="00AB640F"/>
    <w:rsid w:val="00AB711C"/>
    <w:rsid w:val="00AB7DBC"/>
    <w:rsid w:val="00AC00D4"/>
    <w:rsid w:val="00AC0336"/>
    <w:rsid w:val="00AC11D6"/>
    <w:rsid w:val="00AC1203"/>
    <w:rsid w:val="00AC19C9"/>
    <w:rsid w:val="00AC1F0A"/>
    <w:rsid w:val="00AC226B"/>
    <w:rsid w:val="00AC2AC2"/>
    <w:rsid w:val="00AC31AA"/>
    <w:rsid w:val="00AC33DC"/>
    <w:rsid w:val="00AC3966"/>
    <w:rsid w:val="00AC43F5"/>
    <w:rsid w:val="00AC4646"/>
    <w:rsid w:val="00AC4A90"/>
    <w:rsid w:val="00AC5798"/>
    <w:rsid w:val="00AC61FD"/>
    <w:rsid w:val="00AC64CB"/>
    <w:rsid w:val="00AC6B6D"/>
    <w:rsid w:val="00AC6DD9"/>
    <w:rsid w:val="00AC7ED4"/>
    <w:rsid w:val="00AD05B7"/>
    <w:rsid w:val="00AD0813"/>
    <w:rsid w:val="00AD0CF4"/>
    <w:rsid w:val="00AD116D"/>
    <w:rsid w:val="00AD379B"/>
    <w:rsid w:val="00AD388A"/>
    <w:rsid w:val="00AD3A49"/>
    <w:rsid w:val="00AD4014"/>
    <w:rsid w:val="00AD476F"/>
    <w:rsid w:val="00AD48C5"/>
    <w:rsid w:val="00AD4D70"/>
    <w:rsid w:val="00AD576C"/>
    <w:rsid w:val="00AD5C6C"/>
    <w:rsid w:val="00AD5CC7"/>
    <w:rsid w:val="00AD5D95"/>
    <w:rsid w:val="00AD5DAA"/>
    <w:rsid w:val="00AD6A9D"/>
    <w:rsid w:val="00AD6F47"/>
    <w:rsid w:val="00AD6F85"/>
    <w:rsid w:val="00AD701C"/>
    <w:rsid w:val="00AD71B4"/>
    <w:rsid w:val="00AD753C"/>
    <w:rsid w:val="00AE0A6D"/>
    <w:rsid w:val="00AE1481"/>
    <w:rsid w:val="00AE224E"/>
    <w:rsid w:val="00AE2FB7"/>
    <w:rsid w:val="00AE336F"/>
    <w:rsid w:val="00AE3470"/>
    <w:rsid w:val="00AE3476"/>
    <w:rsid w:val="00AE373F"/>
    <w:rsid w:val="00AE3A52"/>
    <w:rsid w:val="00AE4881"/>
    <w:rsid w:val="00AE4917"/>
    <w:rsid w:val="00AE55B3"/>
    <w:rsid w:val="00AE55DF"/>
    <w:rsid w:val="00AE5CBE"/>
    <w:rsid w:val="00AE5FEE"/>
    <w:rsid w:val="00AE60C8"/>
    <w:rsid w:val="00AE663D"/>
    <w:rsid w:val="00AE698F"/>
    <w:rsid w:val="00AE7F9B"/>
    <w:rsid w:val="00AF01A3"/>
    <w:rsid w:val="00AF05A4"/>
    <w:rsid w:val="00AF088B"/>
    <w:rsid w:val="00AF0A1C"/>
    <w:rsid w:val="00AF0F3C"/>
    <w:rsid w:val="00AF174F"/>
    <w:rsid w:val="00AF18B3"/>
    <w:rsid w:val="00AF1927"/>
    <w:rsid w:val="00AF1D2A"/>
    <w:rsid w:val="00AF24EF"/>
    <w:rsid w:val="00AF2880"/>
    <w:rsid w:val="00AF2D06"/>
    <w:rsid w:val="00AF37A6"/>
    <w:rsid w:val="00AF3E2F"/>
    <w:rsid w:val="00AF420B"/>
    <w:rsid w:val="00AF44AE"/>
    <w:rsid w:val="00AF4802"/>
    <w:rsid w:val="00AF4E1F"/>
    <w:rsid w:val="00AF52BA"/>
    <w:rsid w:val="00AF5461"/>
    <w:rsid w:val="00AF58C3"/>
    <w:rsid w:val="00AF5996"/>
    <w:rsid w:val="00AF5C6C"/>
    <w:rsid w:val="00AF65B8"/>
    <w:rsid w:val="00AF6FCD"/>
    <w:rsid w:val="00AF7A4B"/>
    <w:rsid w:val="00B001D3"/>
    <w:rsid w:val="00B003B7"/>
    <w:rsid w:val="00B0076A"/>
    <w:rsid w:val="00B00AA8"/>
    <w:rsid w:val="00B0168A"/>
    <w:rsid w:val="00B02047"/>
    <w:rsid w:val="00B020F5"/>
    <w:rsid w:val="00B02603"/>
    <w:rsid w:val="00B026EE"/>
    <w:rsid w:val="00B027CA"/>
    <w:rsid w:val="00B03147"/>
    <w:rsid w:val="00B032B7"/>
    <w:rsid w:val="00B03931"/>
    <w:rsid w:val="00B03B90"/>
    <w:rsid w:val="00B03E2B"/>
    <w:rsid w:val="00B041D5"/>
    <w:rsid w:val="00B048DA"/>
    <w:rsid w:val="00B04C6D"/>
    <w:rsid w:val="00B058A5"/>
    <w:rsid w:val="00B05F82"/>
    <w:rsid w:val="00B06293"/>
    <w:rsid w:val="00B06903"/>
    <w:rsid w:val="00B06A17"/>
    <w:rsid w:val="00B06F8C"/>
    <w:rsid w:val="00B079D4"/>
    <w:rsid w:val="00B116E7"/>
    <w:rsid w:val="00B11BC6"/>
    <w:rsid w:val="00B11C22"/>
    <w:rsid w:val="00B11C2A"/>
    <w:rsid w:val="00B11DD6"/>
    <w:rsid w:val="00B12740"/>
    <w:rsid w:val="00B12F2D"/>
    <w:rsid w:val="00B133D2"/>
    <w:rsid w:val="00B14E48"/>
    <w:rsid w:val="00B1549E"/>
    <w:rsid w:val="00B15E0D"/>
    <w:rsid w:val="00B16B1E"/>
    <w:rsid w:val="00B1715F"/>
    <w:rsid w:val="00B171F1"/>
    <w:rsid w:val="00B17611"/>
    <w:rsid w:val="00B17D28"/>
    <w:rsid w:val="00B204EB"/>
    <w:rsid w:val="00B21B5A"/>
    <w:rsid w:val="00B225C5"/>
    <w:rsid w:val="00B22CA0"/>
    <w:rsid w:val="00B237E6"/>
    <w:rsid w:val="00B238A6"/>
    <w:rsid w:val="00B23D62"/>
    <w:rsid w:val="00B254F0"/>
    <w:rsid w:val="00B25C88"/>
    <w:rsid w:val="00B25D51"/>
    <w:rsid w:val="00B269E1"/>
    <w:rsid w:val="00B27A0A"/>
    <w:rsid w:val="00B27B48"/>
    <w:rsid w:val="00B27E29"/>
    <w:rsid w:val="00B30F49"/>
    <w:rsid w:val="00B312FE"/>
    <w:rsid w:val="00B314AB"/>
    <w:rsid w:val="00B317E4"/>
    <w:rsid w:val="00B322D2"/>
    <w:rsid w:val="00B32406"/>
    <w:rsid w:val="00B32559"/>
    <w:rsid w:val="00B32897"/>
    <w:rsid w:val="00B32A90"/>
    <w:rsid w:val="00B32F15"/>
    <w:rsid w:val="00B335C6"/>
    <w:rsid w:val="00B34E32"/>
    <w:rsid w:val="00B35568"/>
    <w:rsid w:val="00B35B41"/>
    <w:rsid w:val="00B3616A"/>
    <w:rsid w:val="00B36175"/>
    <w:rsid w:val="00B36617"/>
    <w:rsid w:val="00B368A7"/>
    <w:rsid w:val="00B36990"/>
    <w:rsid w:val="00B36E1A"/>
    <w:rsid w:val="00B36FDD"/>
    <w:rsid w:val="00B374F2"/>
    <w:rsid w:val="00B376EC"/>
    <w:rsid w:val="00B37F50"/>
    <w:rsid w:val="00B40756"/>
    <w:rsid w:val="00B408F2"/>
    <w:rsid w:val="00B4164E"/>
    <w:rsid w:val="00B4174C"/>
    <w:rsid w:val="00B426AF"/>
    <w:rsid w:val="00B42860"/>
    <w:rsid w:val="00B429F2"/>
    <w:rsid w:val="00B42A46"/>
    <w:rsid w:val="00B442A4"/>
    <w:rsid w:val="00B44FDD"/>
    <w:rsid w:val="00B452C0"/>
    <w:rsid w:val="00B46393"/>
    <w:rsid w:val="00B46735"/>
    <w:rsid w:val="00B472D3"/>
    <w:rsid w:val="00B476E2"/>
    <w:rsid w:val="00B5027B"/>
    <w:rsid w:val="00B50B11"/>
    <w:rsid w:val="00B51445"/>
    <w:rsid w:val="00B51695"/>
    <w:rsid w:val="00B526DC"/>
    <w:rsid w:val="00B528CE"/>
    <w:rsid w:val="00B5290D"/>
    <w:rsid w:val="00B52DE7"/>
    <w:rsid w:val="00B53BE6"/>
    <w:rsid w:val="00B544E4"/>
    <w:rsid w:val="00B547A6"/>
    <w:rsid w:val="00B54AA7"/>
    <w:rsid w:val="00B55051"/>
    <w:rsid w:val="00B55061"/>
    <w:rsid w:val="00B55372"/>
    <w:rsid w:val="00B55792"/>
    <w:rsid w:val="00B55D8E"/>
    <w:rsid w:val="00B56A42"/>
    <w:rsid w:val="00B56FCF"/>
    <w:rsid w:val="00B570E5"/>
    <w:rsid w:val="00B6038D"/>
    <w:rsid w:val="00B609A2"/>
    <w:rsid w:val="00B60C71"/>
    <w:rsid w:val="00B614E9"/>
    <w:rsid w:val="00B6177A"/>
    <w:rsid w:val="00B617A6"/>
    <w:rsid w:val="00B61E5D"/>
    <w:rsid w:val="00B62321"/>
    <w:rsid w:val="00B62E58"/>
    <w:rsid w:val="00B633ED"/>
    <w:rsid w:val="00B6357A"/>
    <w:rsid w:val="00B63AD9"/>
    <w:rsid w:val="00B63DD7"/>
    <w:rsid w:val="00B64B9E"/>
    <w:rsid w:val="00B64BA9"/>
    <w:rsid w:val="00B64FC9"/>
    <w:rsid w:val="00B655B8"/>
    <w:rsid w:val="00B664BC"/>
    <w:rsid w:val="00B66B77"/>
    <w:rsid w:val="00B70C92"/>
    <w:rsid w:val="00B71AC1"/>
    <w:rsid w:val="00B71D31"/>
    <w:rsid w:val="00B72712"/>
    <w:rsid w:val="00B72C1B"/>
    <w:rsid w:val="00B730D0"/>
    <w:rsid w:val="00B73808"/>
    <w:rsid w:val="00B74CEF"/>
    <w:rsid w:val="00B7500B"/>
    <w:rsid w:val="00B75219"/>
    <w:rsid w:val="00B755F8"/>
    <w:rsid w:val="00B75652"/>
    <w:rsid w:val="00B76119"/>
    <w:rsid w:val="00B767FF"/>
    <w:rsid w:val="00B76FD7"/>
    <w:rsid w:val="00B772C8"/>
    <w:rsid w:val="00B774FE"/>
    <w:rsid w:val="00B77A6F"/>
    <w:rsid w:val="00B77E19"/>
    <w:rsid w:val="00B80A51"/>
    <w:rsid w:val="00B817FA"/>
    <w:rsid w:val="00B819E4"/>
    <w:rsid w:val="00B8238C"/>
    <w:rsid w:val="00B82F52"/>
    <w:rsid w:val="00B8328C"/>
    <w:rsid w:val="00B839CB"/>
    <w:rsid w:val="00B84AA2"/>
    <w:rsid w:val="00B855D8"/>
    <w:rsid w:val="00B859E2"/>
    <w:rsid w:val="00B870C9"/>
    <w:rsid w:val="00B87AD5"/>
    <w:rsid w:val="00B90219"/>
    <w:rsid w:val="00B90569"/>
    <w:rsid w:val="00B90CC3"/>
    <w:rsid w:val="00B914D9"/>
    <w:rsid w:val="00B92233"/>
    <w:rsid w:val="00B927C2"/>
    <w:rsid w:val="00B927EB"/>
    <w:rsid w:val="00B93015"/>
    <w:rsid w:val="00B94E93"/>
    <w:rsid w:val="00B95124"/>
    <w:rsid w:val="00B951CD"/>
    <w:rsid w:val="00B95F45"/>
    <w:rsid w:val="00B9631F"/>
    <w:rsid w:val="00B968F0"/>
    <w:rsid w:val="00B96F1D"/>
    <w:rsid w:val="00BA01F1"/>
    <w:rsid w:val="00BA0205"/>
    <w:rsid w:val="00BA054A"/>
    <w:rsid w:val="00BA07F4"/>
    <w:rsid w:val="00BA1117"/>
    <w:rsid w:val="00BA12CC"/>
    <w:rsid w:val="00BA391C"/>
    <w:rsid w:val="00BA45DE"/>
    <w:rsid w:val="00BA5165"/>
    <w:rsid w:val="00BA5354"/>
    <w:rsid w:val="00BA6CEC"/>
    <w:rsid w:val="00BA6E46"/>
    <w:rsid w:val="00BA6F2A"/>
    <w:rsid w:val="00BA720E"/>
    <w:rsid w:val="00BA7325"/>
    <w:rsid w:val="00BA7BE3"/>
    <w:rsid w:val="00BB0B36"/>
    <w:rsid w:val="00BB1785"/>
    <w:rsid w:val="00BB1A8C"/>
    <w:rsid w:val="00BB22B2"/>
    <w:rsid w:val="00BB23C3"/>
    <w:rsid w:val="00BB2E4A"/>
    <w:rsid w:val="00BB2EDC"/>
    <w:rsid w:val="00BB301A"/>
    <w:rsid w:val="00BB3910"/>
    <w:rsid w:val="00BB3DF1"/>
    <w:rsid w:val="00BB3F78"/>
    <w:rsid w:val="00BB4C46"/>
    <w:rsid w:val="00BB4D5B"/>
    <w:rsid w:val="00BB5A69"/>
    <w:rsid w:val="00BB5D10"/>
    <w:rsid w:val="00BB691F"/>
    <w:rsid w:val="00BB6CB4"/>
    <w:rsid w:val="00BB721D"/>
    <w:rsid w:val="00BB7394"/>
    <w:rsid w:val="00BB7845"/>
    <w:rsid w:val="00BB7B7A"/>
    <w:rsid w:val="00BB7DBE"/>
    <w:rsid w:val="00BC03B5"/>
    <w:rsid w:val="00BC0658"/>
    <w:rsid w:val="00BC0C76"/>
    <w:rsid w:val="00BC1478"/>
    <w:rsid w:val="00BC1A6E"/>
    <w:rsid w:val="00BC241C"/>
    <w:rsid w:val="00BC25FB"/>
    <w:rsid w:val="00BC26D5"/>
    <w:rsid w:val="00BC2F56"/>
    <w:rsid w:val="00BC3792"/>
    <w:rsid w:val="00BC5735"/>
    <w:rsid w:val="00BC5836"/>
    <w:rsid w:val="00BC638A"/>
    <w:rsid w:val="00BC7818"/>
    <w:rsid w:val="00BC7858"/>
    <w:rsid w:val="00BD040E"/>
    <w:rsid w:val="00BD0A0A"/>
    <w:rsid w:val="00BD0ACF"/>
    <w:rsid w:val="00BD0C69"/>
    <w:rsid w:val="00BD17D4"/>
    <w:rsid w:val="00BD1E8E"/>
    <w:rsid w:val="00BD2BDA"/>
    <w:rsid w:val="00BD3038"/>
    <w:rsid w:val="00BD46B2"/>
    <w:rsid w:val="00BD491F"/>
    <w:rsid w:val="00BD4ABD"/>
    <w:rsid w:val="00BD591A"/>
    <w:rsid w:val="00BD5EAE"/>
    <w:rsid w:val="00BD6A75"/>
    <w:rsid w:val="00BD6CF4"/>
    <w:rsid w:val="00BD6F54"/>
    <w:rsid w:val="00BD7088"/>
    <w:rsid w:val="00BE0509"/>
    <w:rsid w:val="00BE063F"/>
    <w:rsid w:val="00BE07F0"/>
    <w:rsid w:val="00BE10D2"/>
    <w:rsid w:val="00BE29A2"/>
    <w:rsid w:val="00BE2BB2"/>
    <w:rsid w:val="00BE3C22"/>
    <w:rsid w:val="00BE3D7F"/>
    <w:rsid w:val="00BE3D8E"/>
    <w:rsid w:val="00BE49DA"/>
    <w:rsid w:val="00BE4D76"/>
    <w:rsid w:val="00BE5831"/>
    <w:rsid w:val="00BE5BCE"/>
    <w:rsid w:val="00BE5D6E"/>
    <w:rsid w:val="00BE62EE"/>
    <w:rsid w:val="00BE6F4C"/>
    <w:rsid w:val="00BF01EB"/>
    <w:rsid w:val="00BF1174"/>
    <w:rsid w:val="00BF1B4A"/>
    <w:rsid w:val="00BF2008"/>
    <w:rsid w:val="00BF236B"/>
    <w:rsid w:val="00BF2623"/>
    <w:rsid w:val="00BF2723"/>
    <w:rsid w:val="00BF3B0C"/>
    <w:rsid w:val="00BF3B4C"/>
    <w:rsid w:val="00BF4A83"/>
    <w:rsid w:val="00BF5C5F"/>
    <w:rsid w:val="00BF5F33"/>
    <w:rsid w:val="00BF6006"/>
    <w:rsid w:val="00BF60DB"/>
    <w:rsid w:val="00BF628A"/>
    <w:rsid w:val="00BF6D36"/>
    <w:rsid w:val="00BF7597"/>
    <w:rsid w:val="00BF7917"/>
    <w:rsid w:val="00C00126"/>
    <w:rsid w:val="00C00465"/>
    <w:rsid w:val="00C008D5"/>
    <w:rsid w:val="00C00950"/>
    <w:rsid w:val="00C00E12"/>
    <w:rsid w:val="00C01B69"/>
    <w:rsid w:val="00C0213A"/>
    <w:rsid w:val="00C0279A"/>
    <w:rsid w:val="00C02B34"/>
    <w:rsid w:val="00C04366"/>
    <w:rsid w:val="00C04398"/>
    <w:rsid w:val="00C0487D"/>
    <w:rsid w:val="00C04C74"/>
    <w:rsid w:val="00C04F24"/>
    <w:rsid w:val="00C053C4"/>
    <w:rsid w:val="00C05750"/>
    <w:rsid w:val="00C05962"/>
    <w:rsid w:val="00C06760"/>
    <w:rsid w:val="00C067A9"/>
    <w:rsid w:val="00C0720F"/>
    <w:rsid w:val="00C07948"/>
    <w:rsid w:val="00C07BA1"/>
    <w:rsid w:val="00C10196"/>
    <w:rsid w:val="00C10A60"/>
    <w:rsid w:val="00C10AB7"/>
    <w:rsid w:val="00C114E6"/>
    <w:rsid w:val="00C11805"/>
    <w:rsid w:val="00C127E9"/>
    <w:rsid w:val="00C12BB8"/>
    <w:rsid w:val="00C143D3"/>
    <w:rsid w:val="00C14522"/>
    <w:rsid w:val="00C15170"/>
    <w:rsid w:val="00C157C4"/>
    <w:rsid w:val="00C15E7F"/>
    <w:rsid w:val="00C1651F"/>
    <w:rsid w:val="00C16754"/>
    <w:rsid w:val="00C1683D"/>
    <w:rsid w:val="00C16EA5"/>
    <w:rsid w:val="00C1782D"/>
    <w:rsid w:val="00C178FE"/>
    <w:rsid w:val="00C17E0D"/>
    <w:rsid w:val="00C202B6"/>
    <w:rsid w:val="00C20387"/>
    <w:rsid w:val="00C21198"/>
    <w:rsid w:val="00C21454"/>
    <w:rsid w:val="00C21FF2"/>
    <w:rsid w:val="00C22233"/>
    <w:rsid w:val="00C2259E"/>
    <w:rsid w:val="00C22708"/>
    <w:rsid w:val="00C2345C"/>
    <w:rsid w:val="00C23B9A"/>
    <w:rsid w:val="00C23CB2"/>
    <w:rsid w:val="00C25DF5"/>
    <w:rsid w:val="00C2668D"/>
    <w:rsid w:val="00C26E72"/>
    <w:rsid w:val="00C3011D"/>
    <w:rsid w:val="00C30340"/>
    <w:rsid w:val="00C305A4"/>
    <w:rsid w:val="00C30D09"/>
    <w:rsid w:val="00C318FF"/>
    <w:rsid w:val="00C31E84"/>
    <w:rsid w:val="00C32EED"/>
    <w:rsid w:val="00C339B3"/>
    <w:rsid w:val="00C3522F"/>
    <w:rsid w:val="00C3545C"/>
    <w:rsid w:val="00C35B5E"/>
    <w:rsid w:val="00C35CE8"/>
    <w:rsid w:val="00C35D34"/>
    <w:rsid w:val="00C36089"/>
    <w:rsid w:val="00C360C2"/>
    <w:rsid w:val="00C3646D"/>
    <w:rsid w:val="00C4006D"/>
    <w:rsid w:val="00C41090"/>
    <w:rsid w:val="00C41721"/>
    <w:rsid w:val="00C41AE4"/>
    <w:rsid w:val="00C41CF4"/>
    <w:rsid w:val="00C420D4"/>
    <w:rsid w:val="00C429F1"/>
    <w:rsid w:val="00C42BF5"/>
    <w:rsid w:val="00C42EE5"/>
    <w:rsid w:val="00C43B74"/>
    <w:rsid w:val="00C43D6F"/>
    <w:rsid w:val="00C44032"/>
    <w:rsid w:val="00C441E7"/>
    <w:rsid w:val="00C467BF"/>
    <w:rsid w:val="00C47514"/>
    <w:rsid w:val="00C50307"/>
    <w:rsid w:val="00C50672"/>
    <w:rsid w:val="00C50E63"/>
    <w:rsid w:val="00C5155B"/>
    <w:rsid w:val="00C51A6B"/>
    <w:rsid w:val="00C521FC"/>
    <w:rsid w:val="00C524E8"/>
    <w:rsid w:val="00C52BEC"/>
    <w:rsid w:val="00C52EC3"/>
    <w:rsid w:val="00C53046"/>
    <w:rsid w:val="00C53638"/>
    <w:rsid w:val="00C5420B"/>
    <w:rsid w:val="00C54A92"/>
    <w:rsid w:val="00C54E82"/>
    <w:rsid w:val="00C55648"/>
    <w:rsid w:val="00C5627B"/>
    <w:rsid w:val="00C56790"/>
    <w:rsid w:val="00C567C0"/>
    <w:rsid w:val="00C57995"/>
    <w:rsid w:val="00C57C7B"/>
    <w:rsid w:val="00C60260"/>
    <w:rsid w:val="00C6094D"/>
    <w:rsid w:val="00C6175C"/>
    <w:rsid w:val="00C62FC4"/>
    <w:rsid w:val="00C63574"/>
    <w:rsid w:val="00C63D32"/>
    <w:rsid w:val="00C64AF2"/>
    <w:rsid w:val="00C64DC3"/>
    <w:rsid w:val="00C64FE6"/>
    <w:rsid w:val="00C652A5"/>
    <w:rsid w:val="00C660FF"/>
    <w:rsid w:val="00C66195"/>
    <w:rsid w:val="00C66604"/>
    <w:rsid w:val="00C668A1"/>
    <w:rsid w:val="00C67416"/>
    <w:rsid w:val="00C6765D"/>
    <w:rsid w:val="00C67A2C"/>
    <w:rsid w:val="00C704BD"/>
    <w:rsid w:val="00C706C7"/>
    <w:rsid w:val="00C70BEB"/>
    <w:rsid w:val="00C7139B"/>
    <w:rsid w:val="00C713F4"/>
    <w:rsid w:val="00C71AB7"/>
    <w:rsid w:val="00C71B06"/>
    <w:rsid w:val="00C71B2F"/>
    <w:rsid w:val="00C71CA1"/>
    <w:rsid w:val="00C72221"/>
    <w:rsid w:val="00C7265C"/>
    <w:rsid w:val="00C72BB6"/>
    <w:rsid w:val="00C73037"/>
    <w:rsid w:val="00C7309A"/>
    <w:rsid w:val="00C73951"/>
    <w:rsid w:val="00C73AB3"/>
    <w:rsid w:val="00C73F60"/>
    <w:rsid w:val="00C7424D"/>
    <w:rsid w:val="00C74770"/>
    <w:rsid w:val="00C74900"/>
    <w:rsid w:val="00C76032"/>
    <w:rsid w:val="00C761CB"/>
    <w:rsid w:val="00C764F9"/>
    <w:rsid w:val="00C769D5"/>
    <w:rsid w:val="00C772F4"/>
    <w:rsid w:val="00C7747D"/>
    <w:rsid w:val="00C778BB"/>
    <w:rsid w:val="00C778BF"/>
    <w:rsid w:val="00C80400"/>
    <w:rsid w:val="00C81D8F"/>
    <w:rsid w:val="00C81DC5"/>
    <w:rsid w:val="00C823BE"/>
    <w:rsid w:val="00C8277D"/>
    <w:rsid w:val="00C82E30"/>
    <w:rsid w:val="00C834A2"/>
    <w:rsid w:val="00C8350F"/>
    <w:rsid w:val="00C8362E"/>
    <w:rsid w:val="00C83ACE"/>
    <w:rsid w:val="00C8448D"/>
    <w:rsid w:val="00C8650D"/>
    <w:rsid w:val="00C86D14"/>
    <w:rsid w:val="00C86D5A"/>
    <w:rsid w:val="00C871B8"/>
    <w:rsid w:val="00C87CC1"/>
    <w:rsid w:val="00C87F59"/>
    <w:rsid w:val="00C90A55"/>
    <w:rsid w:val="00C91224"/>
    <w:rsid w:val="00C9143E"/>
    <w:rsid w:val="00C917B7"/>
    <w:rsid w:val="00C9250E"/>
    <w:rsid w:val="00C930DD"/>
    <w:rsid w:val="00C93C9B"/>
    <w:rsid w:val="00C93CE2"/>
    <w:rsid w:val="00C948EB"/>
    <w:rsid w:val="00C94DA6"/>
    <w:rsid w:val="00C94E0E"/>
    <w:rsid w:val="00C95360"/>
    <w:rsid w:val="00C95EFA"/>
    <w:rsid w:val="00C96285"/>
    <w:rsid w:val="00C9779C"/>
    <w:rsid w:val="00CA0A43"/>
    <w:rsid w:val="00CA0AAD"/>
    <w:rsid w:val="00CA0B1E"/>
    <w:rsid w:val="00CA0ECB"/>
    <w:rsid w:val="00CA14DE"/>
    <w:rsid w:val="00CA1FFF"/>
    <w:rsid w:val="00CA28B0"/>
    <w:rsid w:val="00CA3618"/>
    <w:rsid w:val="00CA3686"/>
    <w:rsid w:val="00CA4299"/>
    <w:rsid w:val="00CA5F05"/>
    <w:rsid w:val="00CA63F1"/>
    <w:rsid w:val="00CA6DF8"/>
    <w:rsid w:val="00CA7282"/>
    <w:rsid w:val="00CA741E"/>
    <w:rsid w:val="00CA777F"/>
    <w:rsid w:val="00CA7DA4"/>
    <w:rsid w:val="00CB01AE"/>
    <w:rsid w:val="00CB0347"/>
    <w:rsid w:val="00CB0E3C"/>
    <w:rsid w:val="00CB0FD6"/>
    <w:rsid w:val="00CB1303"/>
    <w:rsid w:val="00CB132D"/>
    <w:rsid w:val="00CB1584"/>
    <w:rsid w:val="00CB1D01"/>
    <w:rsid w:val="00CB25BF"/>
    <w:rsid w:val="00CB3766"/>
    <w:rsid w:val="00CB3905"/>
    <w:rsid w:val="00CB3A7A"/>
    <w:rsid w:val="00CB3E33"/>
    <w:rsid w:val="00CB4658"/>
    <w:rsid w:val="00CB47C6"/>
    <w:rsid w:val="00CB4B4A"/>
    <w:rsid w:val="00CB582B"/>
    <w:rsid w:val="00CB5906"/>
    <w:rsid w:val="00CB5A0C"/>
    <w:rsid w:val="00CB5B6D"/>
    <w:rsid w:val="00CB5CC1"/>
    <w:rsid w:val="00CB6139"/>
    <w:rsid w:val="00CB6236"/>
    <w:rsid w:val="00CB62BC"/>
    <w:rsid w:val="00CB6951"/>
    <w:rsid w:val="00CB6DAD"/>
    <w:rsid w:val="00CB797E"/>
    <w:rsid w:val="00CB7D49"/>
    <w:rsid w:val="00CB7F80"/>
    <w:rsid w:val="00CC0550"/>
    <w:rsid w:val="00CC0680"/>
    <w:rsid w:val="00CC18C7"/>
    <w:rsid w:val="00CC1D68"/>
    <w:rsid w:val="00CC26BB"/>
    <w:rsid w:val="00CC291B"/>
    <w:rsid w:val="00CC4083"/>
    <w:rsid w:val="00CC41E1"/>
    <w:rsid w:val="00CC4945"/>
    <w:rsid w:val="00CC4DC2"/>
    <w:rsid w:val="00CC522E"/>
    <w:rsid w:val="00CC5C5E"/>
    <w:rsid w:val="00CC70E3"/>
    <w:rsid w:val="00CC7745"/>
    <w:rsid w:val="00CC79D4"/>
    <w:rsid w:val="00CC7CA8"/>
    <w:rsid w:val="00CC7DB7"/>
    <w:rsid w:val="00CD0155"/>
    <w:rsid w:val="00CD0A35"/>
    <w:rsid w:val="00CD1980"/>
    <w:rsid w:val="00CD2182"/>
    <w:rsid w:val="00CD2577"/>
    <w:rsid w:val="00CD2BB2"/>
    <w:rsid w:val="00CD315F"/>
    <w:rsid w:val="00CD36AF"/>
    <w:rsid w:val="00CD3B52"/>
    <w:rsid w:val="00CD45A2"/>
    <w:rsid w:val="00CD464E"/>
    <w:rsid w:val="00CD4C37"/>
    <w:rsid w:val="00CD4D97"/>
    <w:rsid w:val="00CD5515"/>
    <w:rsid w:val="00CD57C8"/>
    <w:rsid w:val="00CD5811"/>
    <w:rsid w:val="00CD5C4E"/>
    <w:rsid w:val="00CD5EBB"/>
    <w:rsid w:val="00CD603B"/>
    <w:rsid w:val="00CD7294"/>
    <w:rsid w:val="00CD74EA"/>
    <w:rsid w:val="00CD7814"/>
    <w:rsid w:val="00CD79C0"/>
    <w:rsid w:val="00CD7DE1"/>
    <w:rsid w:val="00CE0029"/>
    <w:rsid w:val="00CE08D7"/>
    <w:rsid w:val="00CE1AF3"/>
    <w:rsid w:val="00CE22E0"/>
    <w:rsid w:val="00CE270E"/>
    <w:rsid w:val="00CE2885"/>
    <w:rsid w:val="00CE4C81"/>
    <w:rsid w:val="00CE5196"/>
    <w:rsid w:val="00CE529C"/>
    <w:rsid w:val="00CE5479"/>
    <w:rsid w:val="00CE5C37"/>
    <w:rsid w:val="00CE5E20"/>
    <w:rsid w:val="00CE66AD"/>
    <w:rsid w:val="00CE6923"/>
    <w:rsid w:val="00CE6B0A"/>
    <w:rsid w:val="00CE6B70"/>
    <w:rsid w:val="00CE70D6"/>
    <w:rsid w:val="00CE736C"/>
    <w:rsid w:val="00CE7CAF"/>
    <w:rsid w:val="00CF0BF3"/>
    <w:rsid w:val="00CF0C18"/>
    <w:rsid w:val="00CF140D"/>
    <w:rsid w:val="00CF170D"/>
    <w:rsid w:val="00CF1893"/>
    <w:rsid w:val="00CF18FF"/>
    <w:rsid w:val="00CF1D11"/>
    <w:rsid w:val="00CF2200"/>
    <w:rsid w:val="00CF23C7"/>
    <w:rsid w:val="00CF2491"/>
    <w:rsid w:val="00CF24AE"/>
    <w:rsid w:val="00CF2B6F"/>
    <w:rsid w:val="00CF2BD7"/>
    <w:rsid w:val="00CF33E6"/>
    <w:rsid w:val="00CF3D44"/>
    <w:rsid w:val="00CF40D4"/>
    <w:rsid w:val="00CF4219"/>
    <w:rsid w:val="00CF4BF0"/>
    <w:rsid w:val="00CF4FBB"/>
    <w:rsid w:val="00CF5056"/>
    <w:rsid w:val="00CF5856"/>
    <w:rsid w:val="00CF6185"/>
    <w:rsid w:val="00CF6C6C"/>
    <w:rsid w:val="00CF6FA8"/>
    <w:rsid w:val="00CF70E6"/>
    <w:rsid w:val="00CF77F2"/>
    <w:rsid w:val="00D004FA"/>
    <w:rsid w:val="00D01CAC"/>
    <w:rsid w:val="00D03292"/>
    <w:rsid w:val="00D032EB"/>
    <w:rsid w:val="00D039BD"/>
    <w:rsid w:val="00D03A44"/>
    <w:rsid w:val="00D03AAB"/>
    <w:rsid w:val="00D0524D"/>
    <w:rsid w:val="00D05262"/>
    <w:rsid w:val="00D052BC"/>
    <w:rsid w:val="00D05D16"/>
    <w:rsid w:val="00D05E57"/>
    <w:rsid w:val="00D0603B"/>
    <w:rsid w:val="00D06923"/>
    <w:rsid w:val="00D07FC5"/>
    <w:rsid w:val="00D1029A"/>
    <w:rsid w:val="00D105FD"/>
    <w:rsid w:val="00D10F45"/>
    <w:rsid w:val="00D111C5"/>
    <w:rsid w:val="00D1332B"/>
    <w:rsid w:val="00D13B6C"/>
    <w:rsid w:val="00D153F2"/>
    <w:rsid w:val="00D1560E"/>
    <w:rsid w:val="00D16CA0"/>
    <w:rsid w:val="00D1763F"/>
    <w:rsid w:val="00D17785"/>
    <w:rsid w:val="00D17DF1"/>
    <w:rsid w:val="00D213C7"/>
    <w:rsid w:val="00D213FE"/>
    <w:rsid w:val="00D21622"/>
    <w:rsid w:val="00D23292"/>
    <w:rsid w:val="00D24D0F"/>
    <w:rsid w:val="00D24FC1"/>
    <w:rsid w:val="00D262E0"/>
    <w:rsid w:val="00D27023"/>
    <w:rsid w:val="00D2716D"/>
    <w:rsid w:val="00D274A3"/>
    <w:rsid w:val="00D304F0"/>
    <w:rsid w:val="00D30DF1"/>
    <w:rsid w:val="00D3233B"/>
    <w:rsid w:val="00D32C8C"/>
    <w:rsid w:val="00D32E5B"/>
    <w:rsid w:val="00D33C74"/>
    <w:rsid w:val="00D33FC5"/>
    <w:rsid w:val="00D348B8"/>
    <w:rsid w:val="00D34FD9"/>
    <w:rsid w:val="00D36668"/>
    <w:rsid w:val="00D37989"/>
    <w:rsid w:val="00D37C39"/>
    <w:rsid w:val="00D40BC4"/>
    <w:rsid w:val="00D40BFC"/>
    <w:rsid w:val="00D4146D"/>
    <w:rsid w:val="00D424A3"/>
    <w:rsid w:val="00D426FB"/>
    <w:rsid w:val="00D42767"/>
    <w:rsid w:val="00D42D79"/>
    <w:rsid w:val="00D43189"/>
    <w:rsid w:val="00D431D2"/>
    <w:rsid w:val="00D432B3"/>
    <w:rsid w:val="00D4347A"/>
    <w:rsid w:val="00D43A7B"/>
    <w:rsid w:val="00D449DC"/>
    <w:rsid w:val="00D44C04"/>
    <w:rsid w:val="00D462AC"/>
    <w:rsid w:val="00D465E9"/>
    <w:rsid w:val="00D46799"/>
    <w:rsid w:val="00D46E0A"/>
    <w:rsid w:val="00D46F70"/>
    <w:rsid w:val="00D4719C"/>
    <w:rsid w:val="00D47786"/>
    <w:rsid w:val="00D47B46"/>
    <w:rsid w:val="00D47CDE"/>
    <w:rsid w:val="00D50B39"/>
    <w:rsid w:val="00D50E6C"/>
    <w:rsid w:val="00D514A8"/>
    <w:rsid w:val="00D518D5"/>
    <w:rsid w:val="00D521F7"/>
    <w:rsid w:val="00D52333"/>
    <w:rsid w:val="00D5305E"/>
    <w:rsid w:val="00D53EF9"/>
    <w:rsid w:val="00D54A22"/>
    <w:rsid w:val="00D555BD"/>
    <w:rsid w:val="00D5605A"/>
    <w:rsid w:val="00D5609A"/>
    <w:rsid w:val="00D56C8D"/>
    <w:rsid w:val="00D57DB9"/>
    <w:rsid w:val="00D57F8F"/>
    <w:rsid w:val="00D6024C"/>
    <w:rsid w:val="00D6049A"/>
    <w:rsid w:val="00D60B49"/>
    <w:rsid w:val="00D616AE"/>
    <w:rsid w:val="00D61849"/>
    <w:rsid w:val="00D61A65"/>
    <w:rsid w:val="00D61C9C"/>
    <w:rsid w:val="00D62595"/>
    <w:rsid w:val="00D62613"/>
    <w:rsid w:val="00D62C4B"/>
    <w:rsid w:val="00D6342C"/>
    <w:rsid w:val="00D63469"/>
    <w:rsid w:val="00D64058"/>
    <w:rsid w:val="00D649E0"/>
    <w:rsid w:val="00D64EE4"/>
    <w:rsid w:val="00D65000"/>
    <w:rsid w:val="00D65289"/>
    <w:rsid w:val="00D65700"/>
    <w:rsid w:val="00D65A31"/>
    <w:rsid w:val="00D65B08"/>
    <w:rsid w:val="00D7067B"/>
    <w:rsid w:val="00D70904"/>
    <w:rsid w:val="00D713E5"/>
    <w:rsid w:val="00D71879"/>
    <w:rsid w:val="00D72971"/>
    <w:rsid w:val="00D72FA3"/>
    <w:rsid w:val="00D736F4"/>
    <w:rsid w:val="00D73D0F"/>
    <w:rsid w:val="00D74675"/>
    <w:rsid w:val="00D74C19"/>
    <w:rsid w:val="00D74EBC"/>
    <w:rsid w:val="00D7544F"/>
    <w:rsid w:val="00D75DF8"/>
    <w:rsid w:val="00D75EEA"/>
    <w:rsid w:val="00D75F71"/>
    <w:rsid w:val="00D762A6"/>
    <w:rsid w:val="00D76ACE"/>
    <w:rsid w:val="00D77265"/>
    <w:rsid w:val="00D778EB"/>
    <w:rsid w:val="00D77C5C"/>
    <w:rsid w:val="00D77D6F"/>
    <w:rsid w:val="00D77DC5"/>
    <w:rsid w:val="00D77F70"/>
    <w:rsid w:val="00D8028F"/>
    <w:rsid w:val="00D803DA"/>
    <w:rsid w:val="00D8040A"/>
    <w:rsid w:val="00D827C9"/>
    <w:rsid w:val="00D82B4D"/>
    <w:rsid w:val="00D82CE0"/>
    <w:rsid w:val="00D834C9"/>
    <w:rsid w:val="00D8357B"/>
    <w:rsid w:val="00D84DF7"/>
    <w:rsid w:val="00D8608C"/>
    <w:rsid w:val="00D8708C"/>
    <w:rsid w:val="00D903C8"/>
    <w:rsid w:val="00D90589"/>
    <w:rsid w:val="00D906D8"/>
    <w:rsid w:val="00D90B06"/>
    <w:rsid w:val="00D91212"/>
    <w:rsid w:val="00D92159"/>
    <w:rsid w:val="00D937D9"/>
    <w:rsid w:val="00D94443"/>
    <w:rsid w:val="00D944FC"/>
    <w:rsid w:val="00D94782"/>
    <w:rsid w:val="00D94922"/>
    <w:rsid w:val="00D95045"/>
    <w:rsid w:val="00D9569C"/>
    <w:rsid w:val="00D9616B"/>
    <w:rsid w:val="00D96BEF"/>
    <w:rsid w:val="00D96C65"/>
    <w:rsid w:val="00D96DEA"/>
    <w:rsid w:val="00D9706C"/>
    <w:rsid w:val="00DA05F8"/>
    <w:rsid w:val="00DA14FD"/>
    <w:rsid w:val="00DA1900"/>
    <w:rsid w:val="00DA2513"/>
    <w:rsid w:val="00DA283F"/>
    <w:rsid w:val="00DA2E24"/>
    <w:rsid w:val="00DA39B7"/>
    <w:rsid w:val="00DA6F61"/>
    <w:rsid w:val="00DA7130"/>
    <w:rsid w:val="00DA783A"/>
    <w:rsid w:val="00DB01F7"/>
    <w:rsid w:val="00DB0BE7"/>
    <w:rsid w:val="00DB1044"/>
    <w:rsid w:val="00DB11C8"/>
    <w:rsid w:val="00DB1678"/>
    <w:rsid w:val="00DB193A"/>
    <w:rsid w:val="00DB1E8E"/>
    <w:rsid w:val="00DB221D"/>
    <w:rsid w:val="00DB2C27"/>
    <w:rsid w:val="00DB417A"/>
    <w:rsid w:val="00DB4982"/>
    <w:rsid w:val="00DB5372"/>
    <w:rsid w:val="00DB610B"/>
    <w:rsid w:val="00DB6193"/>
    <w:rsid w:val="00DB73AA"/>
    <w:rsid w:val="00DB7846"/>
    <w:rsid w:val="00DB79C1"/>
    <w:rsid w:val="00DC00B9"/>
    <w:rsid w:val="00DC082C"/>
    <w:rsid w:val="00DC0F74"/>
    <w:rsid w:val="00DC1649"/>
    <w:rsid w:val="00DC1792"/>
    <w:rsid w:val="00DC180C"/>
    <w:rsid w:val="00DC29A0"/>
    <w:rsid w:val="00DC3722"/>
    <w:rsid w:val="00DC3833"/>
    <w:rsid w:val="00DC3C89"/>
    <w:rsid w:val="00DC4158"/>
    <w:rsid w:val="00DC4304"/>
    <w:rsid w:val="00DC4859"/>
    <w:rsid w:val="00DC4FE5"/>
    <w:rsid w:val="00DC5B50"/>
    <w:rsid w:val="00DC61E7"/>
    <w:rsid w:val="00DC6296"/>
    <w:rsid w:val="00DC65EA"/>
    <w:rsid w:val="00DD114D"/>
    <w:rsid w:val="00DD13F8"/>
    <w:rsid w:val="00DD1F69"/>
    <w:rsid w:val="00DD3D98"/>
    <w:rsid w:val="00DD5568"/>
    <w:rsid w:val="00DD5740"/>
    <w:rsid w:val="00DD5CAE"/>
    <w:rsid w:val="00DD6B35"/>
    <w:rsid w:val="00DD6D7B"/>
    <w:rsid w:val="00DD6E8A"/>
    <w:rsid w:val="00DD75D1"/>
    <w:rsid w:val="00DD7B81"/>
    <w:rsid w:val="00DD7B9B"/>
    <w:rsid w:val="00DE05D3"/>
    <w:rsid w:val="00DE13F4"/>
    <w:rsid w:val="00DE1483"/>
    <w:rsid w:val="00DE1735"/>
    <w:rsid w:val="00DE17DB"/>
    <w:rsid w:val="00DE1D23"/>
    <w:rsid w:val="00DE3B46"/>
    <w:rsid w:val="00DE412B"/>
    <w:rsid w:val="00DE4B45"/>
    <w:rsid w:val="00DE5290"/>
    <w:rsid w:val="00DE60F9"/>
    <w:rsid w:val="00DE67AB"/>
    <w:rsid w:val="00DE772C"/>
    <w:rsid w:val="00DE7A61"/>
    <w:rsid w:val="00DE7AC0"/>
    <w:rsid w:val="00DF006F"/>
    <w:rsid w:val="00DF022F"/>
    <w:rsid w:val="00DF0437"/>
    <w:rsid w:val="00DF061D"/>
    <w:rsid w:val="00DF15D6"/>
    <w:rsid w:val="00DF2340"/>
    <w:rsid w:val="00DF2845"/>
    <w:rsid w:val="00DF32F2"/>
    <w:rsid w:val="00DF33EB"/>
    <w:rsid w:val="00DF35B2"/>
    <w:rsid w:val="00DF372B"/>
    <w:rsid w:val="00DF38C8"/>
    <w:rsid w:val="00DF49CF"/>
    <w:rsid w:val="00DF4F4C"/>
    <w:rsid w:val="00DF639B"/>
    <w:rsid w:val="00DF648B"/>
    <w:rsid w:val="00DF6807"/>
    <w:rsid w:val="00E003DC"/>
    <w:rsid w:val="00E0093A"/>
    <w:rsid w:val="00E01CE2"/>
    <w:rsid w:val="00E01FDF"/>
    <w:rsid w:val="00E03237"/>
    <w:rsid w:val="00E03760"/>
    <w:rsid w:val="00E04057"/>
    <w:rsid w:val="00E04254"/>
    <w:rsid w:val="00E0432F"/>
    <w:rsid w:val="00E04E6E"/>
    <w:rsid w:val="00E0525A"/>
    <w:rsid w:val="00E05783"/>
    <w:rsid w:val="00E05C9B"/>
    <w:rsid w:val="00E06006"/>
    <w:rsid w:val="00E0623E"/>
    <w:rsid w:val="00E0694C"/>
    <w:rsid w:val="00E06CC2"/>
    <w:rsid w:val="00E0799D"/>
    <w:rsid w:val="00E07B3A"/>
    <w:rsid w:val="00E07E4F"/>
    <w:rsid w:val="00E101B2"/>
    <w:rsid w:val="00E1024B"/>
    <w:rsid w:val="00E10475"/>
    <w:rsid w:val="00E1057F"/>
    <w:rsid w:val="00E1071D"/>
    <w:rsid w:val="00E108E1"/>
    <w:rsid w:val="00E1263A"/>
    <w:rsid w:val="00E1297C"/>
    <w:rsid w:val="00E12E28"/>
    <w:rsid w:val="00E1325E"/>
    <w:rsid w:val="00E14842"/>
    <w:rsid w:val="00E148B4"/>
    <w:rsid w:val="00E14E44"/>
    <w:rsid w:val="00E15598"/>
    <w:rsid w:val="00E15658"/>
    <w:rsid w:val="00E166F4"/>
    <w:rsid w:val="00E167AD"/>
    <w:rsid w:val="00E16D04"/>
    <w:rsid w:val="00E172A2"/>
    <w:rsid w:val="00E176E7"/>
    <w:rsid w:val="00E2033A"/>
    <w:rsid w:val="00E20672"/>
    <w:rsid w:val="00E21FA0"/>
    <w:rsid w:val="00E220CE"/>
    <w:rsid w:val="00E2276F"/>
    <w:rsid w:val="00E229B6"/>
    <w:rsid w:val="00E22A2C"/>
    <w:rsid w:val="00E22AA9"/>
    <w:rsid w:val="00E2339F"/>
    <w:rsid w:val="00E237C4"/>
    <w:rsid w:val="00E239D6"/>
    <w:rsid w:val="00E23E7D"/>
    <w:rsid w:val="00E24751"/>
    <w:rsid w:val="00E24D6F"/>
    <w:rsid w:val="00E25029"/>
    <w:rsid w:val="00E2505F"/>
    <w:rsid w:val="00E252D5"/>
    <w:rsid w:val="00E25F75"/>
    <w:rsid w:val="00E264A6"/>
    <w:rsid w:val="00E272F3"/>
    <w:rsid w:val="00E3123C"/>
    <w:rsid w:val="00E31338"/>
    <w:rsid w:val="00E31540"/>
    <w:rsid w:val="00E3169F"/>
    <w:rsid w:val="00E3252E"/>
    <w:rsid w:val="00E327A3"/>
    <w:rsid w:val="00E32D9C"/>
    <w:rsid w:val="00E331C9"/>
    <w:rsid w:val="00E33408"/>
    <w:rsid w:val="00E33596"/>
    <w:rsid w:val="00E33C7C"/>
    <w:rsid w:val="00E3422E"/>
    <w:rsid w:val="00E34431"/>
    <w:rsid w:val="00E34730"/>
    <w:rsid w:val="00E34D2F"/>
    <w:rsid w:val="00E35025"/>
    <w:rsid w:val="00E35808"/>
    <w:rsid w:val="00E35968"/>
    <w:rsid w:val="00E36753"/>
    <w:rsid w:val="00E37597"/>
    <w:rsid w:val="00E4007A"/>
    <w:rsid w:val="00E41259"/>
    <w:rsid w:val="00E4191A"/>
    <w:rsid w:val="00E41EC2"/>
    <w:rsid w:val="00E42A84"/>
    <w:rsid w:val="00E432FD"/>
    <w:rsid w:val="00E433C3"/>
    <w:rsid w:val="00E43B41"/>
    <w:rsid w:val="00E441F6"/>
    <w:rsid w:val="00E4455E"/>
    <w:rsid w:val="00E44612"/>
    <w:rsid w:val="00E44676"/>
    <w:rsid w:val="00E447FC"/>
    <w:rsid w:val="00E449CE"/>
    <w:rsid w:val="00E450F7"/>
    <w:rsid w:val="00E45305"/>
    <w:rsid w:val="00E45B3C"/>
    <w:rsid w:val="00E45EE2"/>
    <w:rsid w:val="00E46179"/>
    <w:rsid w:val="00E4622D"/>
    <w:rsid w:val="00E467C8"/>
    <w:rsid w:val="00E46A76"/>
    <w:rsid w:val="00E4737B"/>
    <w:rsid w:val="00E473E1"/>
    <w:rsid w:val="00E50409"/>
    <w:rsid w:val="00E50744"/>
    <w:rsid w:val="00E50D08"/>
    <w:rsid w:val="00E5103D"/>
    <w:rsid w:val="00E510E2"/>
    <w:rsid w:val="00E51346"/>
    <w:rsid w:val="00E51402"/>
    <w:rsid w:val="00E51DA1"/>
    <w:rsid w:val="00E526A6"/>
    <w:rsid w:val="00E529E1"/>
    <w:rsid w:val="00E52A43"/>
    <w:rsid w:val="00E52DDC"/>
    <w:rsid w:val="00E531EC"/>
    <w:rsid w:val="00E532CB"/>
    <w:rsid w:val="00E53449"/>
    <w:rsid w:val="00E536F2"/>
    <w:rsid w:val="00E53BEC"/>
    <w:rsid w:val="00E54F91"/>
    <w:rsid w:val="00E55597"/>
    <w:rsid w:val="00E555B3"/>
    <w:rsid w:val="00E55708"/>
    <w:rsid w:val="00E571CF"/>
    <w:rsid w:val="00E57475"/>
    <w:rsid w:val="00E574BD"/>
    <w:rsid w:val="00E600A1"/>
    <w:rsid w:val="00E600F8"/>
    <w:rsid w:val="00E604CE"/>
    <w:rsid w:val="00E60E90"/>
    <w:rsid w:val="00E61092"/>
    <w:rsid w:val="00E61BD4"/>
    <w:rsid w:val="00E61CA5"/>
    <w:rsid w:val="00E61E93"/>
    <w:rsid w:val="00E62747"/>
    <w:rsid w:val="00E62C4C"/>
    <w:rsid w:val="00E630E4"/>
    <w:rsid w:val="00E64483"/>
    <w:rsid w:val="00E6467B"/>
    <w:rsid w:val="00E64AE9"/>
    <w:rsid w:val="00E64F3A"/>
    <w:rsid w:val="00E652CC"/>
    <w:rsid w:val="00E65A1C"/>
    <w:rsid w:val="00E660C6"/>
    <w:rsid w:val="00E66539"/>
    <w:rsid w:val="00E6744F"/>
    <w:rsid w:val="00E67588"/>
    <w:rsid w:val="00E677A2"/>
    <w:rsid w:val="00E6794F"/>
    <w:rsid w:val="00E70051"/>
    <w:rsid w:val="00E70089"/>
    <w:rsid w:val="00E707D8"/>
    <w:rsid w:val="00E70967"/>
    <w:rsid w:val="00E7143A"/>
    <w:rsid w:val="00E7286E"/>
    <w:rsid w:val="00E72BCD"/>
    <w:rsid w:val="00E7329C"/>
    <w:rsid w:val="00E73FC4"/>
    <w:rsid w:val="00E75351"/>
    <w:rsid w:val="00E76127"/>
    <w:rsid w:val="00E76543"/>
    <w:rsid w:val="00E7668D"/>
    <w:rsid w:val="00E77CB6"/>
    <w:rsid w:val="00E80C0C"/>
    <w:rsid w:val="00E80CA4"/>
    <w:rsid w:val="00E80E63"/>
    <w:rsid w:val="00E811C9"/>
    <w:rsid w:val="00E81724"/>
    <w:rsid w:val="00E819C2"/>
    <w:rsid w:val="00E81A4C"/>
    <w:rsid w:val="00E81B69"/>
    <w:rsid w:val="00E81FE6"/>
    <w:rsid w:val="00E837D1"/>
    <w:rsid w:val="00E83E33"/>
    <w:rsid w:val="00E857E6"/>
    <w:rsid w:val="00E86277"/>
    <w:rsid w:val="00E866FC"/>
    <w:rsid w:val="00E869D1"/>
    <w:rsid w:val="00E86D73"/>
    <w:rsid w:val="00E87C00"/>
    <w:rsid w:val="00E906AD"/>
    <w:rsid w:val="00E9180A"/>
    <w:rsid w:val="00E918A1"/>
    <w:rsid w:val="00E919F9"/>
    <w:rsid w:val="00E92DC0"/>
    <w:rsid w:val="00E94E77"/>
    <w:rsid w:val="00E95E53"/>
    <w:rsid w:val="00E96056"/>
    <w:rsid w:val="00E961FA"/>
    <w:rsid w:val="00E9624C"/>
    <w:rsid w:val="00E96CF3"/>
    <w:rsid w:val="00EA03D1"/>
    <w:rsid w:val="00EA0E62"/>
    <w:rsid w:val="00EA1962"/>
    <w:rsid w:val="00EA1E37"/>
    <w:rsid w:val="00EA242C"/>
    <w:rsid w:val="00EA28FA"/>
    <w:rsid w:val="00EA32EF"/>
    <w:rsid w:val="00EA57D3"/>
    <w:rsid w:val="00EA5FB9"/>
    <w:rsid w:val="00EA6A2D"/>
    <w:rsid w:val="00EA73E2"/>
    <w:rsid w:val="00EA75D1"/>
    <w:rsid w:val="00EB1184"/>
    <w:rsid w:val="00EB173B"/>
    <w:rsid w:val="00EB1F95"/>
    <w:rsid w:val="00EB279F"/>
    <w:rsid w:val="00EB2B1A"/>
    <w:rsid w:val="00EB328A"/>
    <w:rsid w:val="00EB339C"/>
    <w:rsid w:val="00EB48A4"/>
    <w:rsid w:val="00EB4E04"/>
    <w:rsid w:val="00EB55FB"/>
    <w:rsid w:val="00EB5F19"/>
    <w:rsid w:val="00EB7144"/>
    <w:rsid w:val="00EC010A"/>
    <w:rsid w:val="00EC1322"/>
    <w:rsid w:val="00EC151A"/>
    <w:rsid w:val="00EC2279"/>
    <w:rsid w:val="00EC2396"/>
    <w:rsid w:val="00EC3B38"/>
    <w:rsid w:val="00EC4CF6"/>
    <w:rsid w:val="00EC4D1B"/>
    <w:rsid w:val="00EC522E"/>
    <w:rsid w:val="00EC5796"/>
    <w:rsid w:val="00EC63F0"/>
    <w:rsid w:val="00EC72F7"/>
    <w:rsid w:val="00EC7E11"/>
    <w:rsid w:val="00ED02FD"/>
    <w:rsid w:val="00ED072D"/>
    <w:rsid w:val="00ED10FB"/>
    <w:rsid w:val="00ED12C7"/>
    <w:rsid w:val="00ED1415"/>
    <w:rsid w:val="00ED164F"/>
    <w:rsid w:val="00ED2248"/>
    <w:rsid w:val="00ED2A7E"/>
    <w:rsid w:val="00ED338B"/>
    <w:rsid w:val="00ED34F0"/>
    <w:rsid w:val="00ED3832"/>
    <w:rsid w:val="00ED4D66"/>
    <w:rsid w:val="00ED50DA"/>
    <w:rsid w:val="00ED58C6"/>
    <w:rsid w:val="00ED6194"/>
    <w:rsid w:val="00ED619D"/>
    <w:rsid w:val="00ED788D"/>
    <w:rsid w:val="00ED7D15"/>
    <w:rsid w:val="00ED7F12"/>
    <w:rsid w:val="00EE03C2"/>
    <w:rsid w:val="00EE0FF8"/>
    <w:rsid w:val="00EE1295"/>
    <w:rsid w:val="00EE13E6"/>
    <w:rsid w:val="00EE1562"/>
    <w:rsid w:val="00EE16A5"/>
    <w:rsid w:val="00EE16C2"/>
    <w:rsid w:val="00EE1EF8"/>
    <w:rsid w:val="00EE2746"/>
    <w:rsid w:val="00EE2821"/>
    <w:rsid w:val="00EE2A3B"/>
    <w:rsid w:val="00EE2F6C"/>
    <w:rsid w:val="00EE3F82"/>
    <w:rsid w:val="00EE4688"/>
    <w:rsid w:val="00EE49E0"/>
    <w:rsid w:val="00EE4AA5"/>
    <w:rsid w:val="00EE4C2F"/>
    <w:rsid w:val="00EE5020"/>
    <w:rsid w:val="00EE597B"/>
    <w:rsid w:val="00EE60BE"/>
    <w:rsid w:val="00EE6201"/>
    <w:rsid w:val="00EE67CA"/>
    <w:rsid w:val="00EE6B75"/>
    <w:rsid w:val="00EE6FA6"/>
    <w:rsid w:val="00EE7008"/>
    <w:rsid w:val="00EE7C17"/>
    <w:rsid w:val="00EF0BAF"/>
    <w:rsid w:val="00EF11C1"/>
    <w:rsid w:val="00EF122D"/>
    <w:rsid w:val="00EF1343"/>
    <w:rsid w:val="00EF21E8"/>
    <w:rsid w:val="00EF21F8"/>
    <w:rsid w:val="00EF258E"/>
    <w:rsid w:val="00EF25EA"/>
    <w:rsid w:val="00EF262E"/>
    <w:rsid w:val="00EF2C22"/>
    <w:rsid w:val="00EF36CE"/>
    <w:rsid w:val="00EF3E14"/>
    <w:rsid w:val="00EF44F8"/>
    <w:rsid w:val="00EF4B88"/>
    <w:rsid w:val="00EF5004"/>
    <w:rsid w:val="00EF5069"/>
    <w:rsid w:val="00EF512A"/>
    <w:rsid w:val="00EF536D"/>
    <w:rsid w:val="00EF57D4"/>
    <w:rsid w:val="00EF5EC8"/>
    <w:rsid w:val="00EF61F6"/>
    <w:rsid w:val="00EF700C"/>
    <w:rsid w:val="00EF7F57"/>
    <w:rsid w:val="00F01441"/>
    <w:rsid w:val="00F01471"/>
    <w:rsid w:val="00F01629"/>
    <w:rsid w:val="00F028A7"/>
    <w:rsid w:val="00F028F2"/>
    <w:rsid w:val="00F03183"/>
    <w:rsid w:val="00F06536"/>
    <w:rsid w:val="00F0686D"/>
    <w:rsid w:val="00F073C9"/>
    <w:rsid w:val="00F073F6"/>
    <w:rsid w:val="00F0780E"/>
    <w:rsid w:val="00F07E54"/>
    <w:rsid w:val="00F1025D"/>
    <w:rsid w:val="00F102DC"/>
    <w:rsid w:val="00F117C1"/>
    <w:rsid w:val="00F11A66"/>
    <w:rsid w:val="00F11CB1"/>
    <w:rsid w:val="00F12310"/>
    <w:rsid w:val="00F12EF1"/>
    <w:rsid w:val="00F13594"/>
    <w:rsid w:val="00F13718"/>
    <w:rsid w:val="00F13D96"/>
    <w:rsid w:val="00F13DA3"/>
    <w:rsid w:val="00F154E6"/>
    <w:rsid w:val="00F16014"/>
    <w:rsid w:val="00F163A1"/>
    <w:rsid w:val="00F167DE"/>
    <w:rsid w:val="00F17602"/>
    <w:rsid w:val="00F177FC"/>
    <w:rsid w:val="00F17CE9"/>
    <w:rsid w:val="00F20237"/>
    <w:rsid w:val="00F20897"/>
    <w:rsid w:val="00F209D7"/>
    <w:rsid w:val="00F21555"/>
    <w:rsid w:val="00F22C7E"/>
    <w:rsid w:val="00F24909"/>
    <w:rsid w:val="00F250AE"/>
    <w:rsid w:val="00F256DA"/>
    <w:rsid w:val="00F26442"/>
    <w:rsid w:val="00F266CD"/>
    <w:rsid w:val="00F26C6E"/>
    <w:rsid w:val="00F271D4"/>
    <w:rsid w:val="00F275C8"/>
    <w:rsid w:val="00F30264"/>
    <w:rsid w:val="00F305E4"/>
    <w:rsid w:val="00F31588"/>
    <w:rsid w:val="00F31865"/>
    <w:rsid w:val="00F31C6E"/>
    <w:rsid w:val="00F33D9C"/>
    <w:rsid w:val="00F3430E"/>
    <w:rsid w:val="00F352F7"/>
    <w:rsid w:val="00F35413"/>
    <w:rsid w:val="00F35832"/>
    <w:rsid w:val="00F36CC9"/>
    <w:rsid w:val="00F36F94"/>
    <w:rsid w:val="00F37C42"/>
    <w:rsid w:val="00F37CF1"/>
    <w:rsid w:val="00F40497"/>
    <w:rsid w:val="00F405D7"/>
    <w:rsid w:val="00F41070"/>
    <w:rsid w:val="00F4223B"/>
    <w:rsid w:val="00F4224E"/>
    <w:rsid w:val="00F42400"/>
    <w:rsid w:val="00F4364C"/>
    <w:rsid w:val="00F44486"/>
    <w:rsid w:val="00F44DD3"/>
    <w:rsid w:val="00F44FF4"/>
    <w:rsid w:val="00F455C2"/>
    <w:rsid w:val="00F4743B"/>
    <w:rsid w:val="00F507AD"/>
    <w:rsid w:val="00F50C4E"/>
    <w:rsid w:val="00F516CA"/>
    <w:rsid w:val="00F51B42"/>
    <w:rsid w:val="00F51E1F"/>
    <w:rsid w:val="00F5237C"/>
    <w:rsid w:val="00F52666"/>
    <w:rsid w:val="00F52744"/>
    <w:rsid w:val="00F52A92"/>
    <w:rsid w:val="00F53766"/>
    <w:rsid w:val="00F53E7A"/>
    <w:rsid w:val="00F54482"/>
    <w:rsid w:val="00F554DA"/>
    <w:rsid w:val="00F55D4B"/>
    <w:rsid w:val="00F55E4B"/>
    <w:rsid w:val="00F56006"/>
    <w:rsid w:val="00F565A7"/>
    <w:rsid w:val="00F56A86"/>
    <w:rsid w:val="00F57D82"/>
    <w:rsid w:val="00F60973"/>
    <w:rsid w:val="00F61390"/>
    <w:rsid w:val="00F613D8"/>
    <w:rsid w:val="00F62E73"/>
    <w:rsid w:val="00F6526A"/>
    <w:rsid w:val="00F65B8B"/>
    <w:rsid w:val="00F6735D"/>
    <w:rsid w:val="00F67ACF"/>
    <w:rsid w:val="00F67F44"/>
    <w:rsid w:val="00F70268"/>
    <w:rsid w:val="00F702AD"/>
    <w:rsid w:val="00F705A6"/>
    <w:rsid w:val="00F72C25"/>
    <w:rsid w:val="00F72D87"/>
    <w:rsid w:val="00F735FB"/>
    <w:rsid w:val="00F73859"/>
    <w:rsid w:val="00F739C8"/>
    <w:rsid w:val="00F73F5E"/>
    <w:rsid w:val="00F7409A"/>
    <w:rsid w:val="00F742CC"/>
    <w:rsid w:val="00F74421"/>
    <w:rsid w:val="00F75046"/>
    <w:rsid w:val="00F7572E"/>
    <w:rsid w:val="00F75F6A"/>
    <w:rsid w:val="00F75F92"/>
    <w:rsid w:val="00F7635F"/>
    <w:rsid w:val="00F7637A"/>
    <w:rsid w:val="00F765A8"/>
    <w:rsid w:val="00F766BE"/>
    <w:rsid w:val="00F7678F"/>
    <w:rsid w:val="00F767DF"/>
    <w:rsid w:val="00F76B86"/>
    <w:rsid w:val="00F771F8"/>
    <w:rsid w:val="00F77AA6"/>
    <w:rsid w:val="00F77AD2"/>
    <w:rsid w:val="00F80C74"/>
    <w:rsid w:val="00F80D56"/>
    <w:rsid w:val="00F80F9C"/>
    <w:rsid w:val="00F82BEA"/>
    <w:rsid w:val="00F83A04"/>
    <w:rsid w:val="00F8477A"/>
    <w:rsid w:val="00F84A4F"/>
    <w:rsid w:val="00F857F3"/>
    <w:rsid w:val="00F859FD"/>
    <w:rsid w:val="00F85BE8"/>
    <w:rsid w:val="00F85CF5"/>
    <w:rsid w:val="00F86117"/>
    <w:rsid w:val="00F86339"/>
    <w:rsid w:val="00F86461"/>
    <w:rsid w:val="00F86B27"/>
    <w:rsid w:val="00F86B3D"/>
    <w:rsid w:val="00F87241"/>
    <w:rsid w:val="00F90015"/>
    <w:rsid w:val="00F9084E"/>
    <w:rsid w:val="00F909E2"/>
    <w:rsid w:val="00F92146"/>
    <w:rsid w:val="00F928C4"/>
    <w:rsid w:val="00F92AF6"/>
    <w:rsid w:val="00F930A6"/>
    <w:rsid w:val="00F93D11"/>
    <w:rsid w:val="00F93FB4"/>
    <w:rsid w:val="00F94BD4"/>
    <w:rsid w:val="00F94CBE"/>
    <w:rsid w:val="00F94F94"/>
    <w:rsid w:val="00F959BC"/>
    <w:rsid w:val="00F96B82"/>
    <w:rsid w:val="00F970D2"/>
    <w:rsid w:val="00F97D01"/>
    <w:rsid w:val="00FA0403"/>
    <w:rsid w:val="00FA06B0"/>
    <w:rsid w:val="00FA0E82"/>
    <w:rsid w:val="00FA0FC3"/>
    <w:rsid w:val="00FA170F"/>
    <w:rsid w:val="00FA20DF"/>
    <w:rsid w:val="00FA36FC"/>
    <w:rsid w:val="00FA372F"/>
    <w:rsid w:val="00FA415B"/>
    <w:rsid w:val="00FA4AA4"/>
    <w:rsid w:val="00FA6FD4"/>
    <w:rsid w:val="00FA76AF"/>
    <w:rsid w:val="00FA7F4B"/>
    <w:rsid w:val="00FB0052"/>
    <w:rsid w:val="00FB09BB"/>
    <w:rsid w:val="00FB0A02"/>
    <w:rsid w:val="00FB0EE6"/>
    <w:rsid w:val="00FB1037"/>
    <w:rsid w:val="00FB12C8"/>
    <w:rsid w:val="00FB1D43"/>
    <w:rsid w:val="00FB22BD"/>
    <w:rsid w:val="00FB34C5"/>
    <w:rsid w:val="00FB35DC"/>
    <w:rsid w:val="00FB3A98"/>
    <w:rsid w:val="00FB3B49"/>
    <w:rsid w:val="00FB5193"/>
    <w:rsid w:val="00FB62A8"/>
    <w:rsid w:val="00FB7E9D"/>
    <w:rsid w:val="00FC06A0"/>
    <w:rsid w:val="00FC088E"/>
    <w:rsid w:val="00FC0DA3"/>
    <w:rsid w:val="00FC10AE"/>
    <w:rsid w:val="00FC20C2"/>
    <w:rsid w:val="00FC288C"/>
    <w:rsid w:val="00FC2B1F"/>
    <w:rsid w:val="00FC32C6"/>
    <w:rsid w:val="00FC349C"/>
    <w:rsid w:val="00FC36C1"/>
    <w:rsid w:val="00FC3B80"/>
    <w:rsid w:val="00FC3EFE"/>
    <w:rsid w:val="00FC5A42"/>
    <w:rsid w:val="00FC5AB1"/>
    <w:rsid w:val="00FC6576"/>
    <w:rsid w:val="00FC739A"/>
    <w:rsid w:val="00FD0652"/>
    <w:rsid w:val="00FD0AB1"/>
    <w:rsid w:val="00FD0D5D"/>
    <w:rsid w:val="00FD1733"/>
    <w:rsid w:val="00FD1A0D"/>
    <w:rsid w:val="00FD2868"/>
    <w:rsid w:val="00FD28A2"/>
    <w:rsid w:val="00FD290B"/>
    <w:rsid w:val="00FD2C9E"/>
    <w:rsid w:val="00FD346F"/>
    <w:rsid w:val="00FD36A9"/>
    <w:rsid w:val="00FD3708"/>
    <w:rsid w:val="00FD38E0"/>
    <w:rsid w:val="00FD40D8"/>
    <w:rsid w:val="00FD40FB"/>
    <w:rsid w:val="00FD5136"/>
    <w:rsid w:val="00FD78AC"/>
    <w:rsid w:val="00FD7DFE"/>
    <w:rsid w:val="00FE000C"/>
    <w:rsid w:val="00FE0B3C"/>
    <w:rsid w:val="00FE0B8B"/>
    <w:rsid w:val="00FE106F"/>
    <w:rsid w:val="00FE17B6"/>
    <w:rsid w:val="00FE17D3"/>
    <w:rsid w:val="00FE1994"/>
    <w:rsid w:val="00FE23C2"/>
    <w:rsid w:val="00FE4685"/>
    <w:rsid w:val="00FE4871"/>
    <w:rsid w:val="00FE4A6B"/>
    <w:rsid w:val="00FE4C80"/>
    <w:rsid w:val="00FE62F9"/>
    <w:rsid w:val="00FE63ED"/>
    <w:rsid w:val="00FE64AF"/>
    <w:rsid w:val="00FE6655"/>
    <w:rsid w:val="00FE6AC6"/>
    <w:rsid w:val="00FE7538"/>
    <w:rsid w:val="00FE7CB7"/>
    <w:rsid w:val="00FE7D8B"/>
    <w:rsid w:val="00FF1081"/>
    <w:rsid w:val="00FF17A8"/>
    <w:rsid w:val="00FF2D96"/>
    <w:rsid w:val="00FF2F67"/>
    <w:rsid w:val="00FF305B"/>
    <w:rsid w:val="00FF30A7"/>
    <w:rsid w:val="00FF3404"/>
    <w:rsid w:val="00FF3D99"/>
    <w:rsid w:val="00FF4580"/>
    <w:rsid w:val="00FF4A82"/>
    <w:rsid w:val="00FF56FE"/>
    <w:rsid w:val="00FF588F"/>
    <w:rsid w:val="00FF64C3"/>
    <w:rsid w:val="00FF6ABF"/>
    <w:rsid w:val="00FF71BA"/>
    <w:rsid w:val="00FF7355"/>
    <w:rsid w:val="00FF75AF"/>
    <w:rsid w:val="00FF7A4F"/>
    <w:rsid w:val="00FF7A9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79"/>
    <w:rPr>
      <w:sz w:val="24"/>
      <w:szCs w:val="24"/>
    </w:rPr>
  </w:style>
  <w:style w:type="paragraph" w:styleId="Titre1">
    <w:name w:val="heading 1"/>
    <w:basedOn w:val="Normal"/>
    <w:next w:val="Normal"/>
    <w:link w:val="Titre1Car"/>
    <w:qFormat/>
    <w:rsid w:val="00457F79"/>
    <w:pPr>
      <w:keepNext/>
      <w:outlineLvl w:val="0"/>
    </w:pPr>
    <w:rPr>
      <w:sz w:val="32"/>
      <w:szCs w:val="32"/>
    </w:rPr>
  </w:style>
  <w:style w:type="paragraph" w:styleId="Titre2">
    <w:name w:val="heading 2"/>
    <w:basedOn w:val="Normal"/>
    <w:next w:val="Normal"/>
    <w:qFormat/>
    <w:rsid w:val="00457F79"/>
    <w:pPr>
      <w:keepNext/>
      <w:jc w:val="center"/>
      <w:outlineLvl w:val="1"/>
    </w:pPr>
    <w:rPr>
      <w:b/>
      <w:bCs/>
      <w:sz w:val="32"/>
      <w:szCs w:val="32"/>
    </w:rPr>
  </w:style>
  <w:style w:type="paragraph" w:styleId="Titre3">
    <w:name w:val="heading 3"/>
    <w:basedOn w:val="Normal"/>
    <w:next w:val="Normal"/>
    <w:qFormat/>
    <w:rsid w:val="00457F79"/>
    <w:pPr>
      <w:keepNext/>
      <w:jc w:val="right"/>
      <w:outlineLvl w:val="2"/>
    </w:pPr>
    <w:rPr>
      <w:b/>
      <w:bCs/>
      <w:sz w:val="32"/>
      <w:szCs w:val="32"/>
      <w:u w:val="single"/>
    </w:rPr>
  </w:style>
  <w:style w:type="paragraph" w:styleId="Titre4">
    <w:name w:val="heading 4"/>
    <w:basedOn w:val="Normal"/>
    <w:next w:val="Normal"/>
    <w:qFormat/>
    <w:rsid w:val="00457F79"/>
    <w:pPr>
      <w:keepNext/>
      <w:jc w:val="lowKashida"/>
      <w:outlineLvl w:val="3"/>
    </w:pPr>
    <w:rPr>
      <w:b/>
      <w:bCs/>
      <w:sz w:val="36"/>
      <w:szCs w:val="36"/>
      <w:u w:val="single"/>
    </w:rPr>
  </w:style>
  <w:style w:type="paragraph" w:styleId="Titre5">
    <w:name w:val="heading 5"/>
    <w:basedOn w:val="Normal"/>
    <w:next w:val="Normal"/>
    <w:qFormat/>
    <w:rsid w:val="00457F79"/>
    <w:pPr>
      <w:keepNext/>
      <w:tabs>
        <w:tab w:val="left" w:pos="3504"/>
      </w:tabs>
      <w:ind w:right="101" w:hanging="80"/>
      <w:jc w:val="center"/>
      <w:outlineLvl w:val="4"/>
    </w:pPr>
    <w:rPr>
      <w:b/>
      <w:bCs/>
      <w:color w:val="000000"/>
    </w:rPr>
  </w:style>
  <w:style w:type="paragraph" w:styleId="Titre6">
    <w:name w:val="heading 6"/>
    <w:basedOn w:val="Normal"/>
    <w:next w:val="Normal"/>
    <w:qFormat/>
    <w:rsid w:val="00457F79"/>
    <w:pPr>
      <w:keepNext/>
      <w:jc w:val="lowKashida"/>
      <w:outlineLvl w:val="5"/>
    </w:pPr>
    <w:rPr>
      <w:sz w:val="28"/>
      <w:szCs w:val="28"/>
    </w:rPr>
  </w:style>
  <w:style w:type="paragraph" w:styleId="Titre7">
    <w:name w:val="heading 7"/>
    <w:basedOn w:val="Normal"/>
    <w:next w:val="Normal"/>
    <w:qFormat/>
    <w:rsid w:val="00457F79"/>
    <w:pPr>
      <w:keepNext/>
      <w:outlineLvl w:val="6"/>
    </w:pPr>
    <w:rPr>
      <w:sz w:val="28"/>
      <w:szCs w:val="28"/>
    </w:rPr>
  </w:style>
  <w:style w:type="paragraph" w:styleId="Titre8">
    <w:name w:val="heading 8"/>
    <w:basedOn w:val="Normal"/>
    <w:next w:val="Normal"/>
    <w:qFormat/>
    <w:rsid w:val="00457F79"/>
    <w:pPr>
      <w:keepNext/>
      <w:outlineLvl w:val="7"/>
    </w:pPr>
    <w:rPr>
      <w:u w:val="single"/>
    </w:rPr>
  </w:style>
  <w:style w:type="paragraph" w:styleId="Titre9">
    <w:name w:val="heading 9"/>
    <w:basedOn w:val="Normal"/>
    <w:next w:val="Normal"/>
    <w:qFormat/>
    <w:rsid w:val="00457F79"/>
    <w:pPr>
      <w:keepNext/>
      <w:jc w:val="center"/>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57F79"/>
    <w:pPr>
      <w:tabs>
        <w:tab w:val="center" w:pos="4153"/>
        <w:tab w:val="right" w:pos="8306"/>
      </w:tabs>
      <w:jc w:val="right"/>
    </w:pPr>
    <w:rPr>
      <w:sz w:val="20"/>
      <w:szCs w:val="20"/>
    </w:rPr>
  </w:style>
  <w:style w:type="paragraph" w:styleId="Corpsdetexte">
    <w:name w:val="Body Text"/>
    <w:basedOn w:val="Normal"/>
    <w:link w:val="CorpsdetexteCar"/>
    <w:rsid w:val="00457F79"/>
    <w:pPr>
      <w:jc w:val="lowKashida"/>
    </w:pPr>
    <w:rPr>
      <w:sz w:val="28"/>
      <w:szCs w:val="28"/>
    </w:rPr>
  </w:style>
  <w:style w:type="paragraph" w:styleId="Corpsdetexte2">
    <w:name w:val="Body Text 2"/>
    <w:basedOn w:val="Normal"/>
    <w:rsid w:val="00457F79"/>
    <w:rPr>
      <w:sz w:val="28"/>
      <w:szCs w:val="28"/>
    </w:rPr>
  </w:style>
  <w:style w:type="paragraph" w:styleId="Retraitcorpsdetexte2">
    <w:name w:val="Body Text Indent 2"/>
    <w:basedOn w:val="Normal"/>
    <w:rsid w:val="00457F79"/>
    <w:pPr>
      <w:tabs>
        <w:tab w:val="left" w:pos="426"/>
      </w:tabs>
      <w:ind w:left="426"/>
      <w:jc w:val="both"/>
    </w:pPr>
    <w:rPr>
      <w:sz w:val="28"/>
      <w:szCs w:val="28"/>
    </w:rPr>
  </w:style>
  <w:style w:type="paragraph" w:styleId="Retraitcorpsdetexte3">
    <w:name w:val="Body Text Indent 3"/>
    <w:basedOn w:val="Normal"/>
    <w:rsid w:val="00457F79"/>
    <w:pPr>
      <w:ind w:firstLine="426"/>
      <w:jc w:val="both"/>
    </w:pPr>
    <w:rPr>
      <w:sz w:val="28"/>
      <w:szCs w:val="28"/>
    </w:rPr>
  </w:style>
  <w:style w:type="paragraph" w:styleId="Retraitcorpsdetexte">
    <w:name w:val="Body Text Indent"/>
    <w:basedOn w:val="Normal"/>
    <w:link w:val="RetraitcorpsdetexteCar"/>
    <w:rsid w:val="00457F79"/>
    <w:pPr>
      <w:ind w:left="426"/>
      <w:jc w:val="lowKashida"/>
    </w:pPr>
    <w:rPr>
      <w:sz w:val="28"/>
      <w:szCs w:val="28"/>
    </w:rPr>
  </w:style>
  <w:style w:type="paragraph" w:styleId="Normalcentr">
    <w:name w:val="Block Text"/>
    <w:basedOn w:val="Normal"/>
    <w:rsid w:val="00457F79"/>
    <w:pPr>
      <w:widowControl w:val="0"/>
      <w:autoSpaceDE w:val="0"/>
      <w:autoSpaceDN w:val="0"/>
      <w:adjustRightInd w:val="0"/>
      <w:spacing w:line="260" w:lineRule="auto"/>
      <w:ind w:left="600" w:right="1400"/>
      <w:jc w:val="center"/>
    </w:pPr>
    <w:rPr>
      <w:b/>
      <w:bCs/>
      <w:color w:val="000000"/>
      <w:sz w:val="28"/>
      <w:szCs w:val="28"/>
      <w:u w:val="single"/>
    </w:rPr>
  </w:style>
  <w:style w:type="paragraph" w:customStyle="1" w:styleId="FR1">
    <w:name w:val="FR1"/>
    <w:rsid w:val="00457F79"/>
    <w:pPr>
      <w:widowControl w:val="0"/>
      <w:autoSpaceDE w:val="0"/>
      <w:autoSpaceDN w:val="0"/>
      <w:adjustRightInd w:val="0"/>
      <w:spacing w:before="80"/>
      <w:ind w:left="2520"/>
    </w:pPr>
    <w:rPr>
      <w:rFonts w:ascii="Arial" w:hAnsi="Arial" w:cs="Arial"/>
      <w:sz w:val="24"/>
      <w:szCs w:val="24"/>
    </w:rPr>
  </w:style>
  <w:style w:type="paragraph" w:styleId="Pieddepage">
    <w:name w:val="footer"/>
    <w:basedOn w:val="Normal"/>
    <w:link w:val="PieddepageCar"/>
    <w:uiPriority w:val="99"/>
    <w:rsid w:val="00457F79"/>
    <w:pPr>
      <w:tabs>
        <w:tab w:val="center" w:pos="4536"/>
        <w:tab w:val="right" w:pos="9072"/>
      </w:tabs>
    </w:pPr>
    <w:rPr>
      <w:sz w:val="20"/>
      <w:szCs w:val="20"/>
    </w:rPr>
  </w:style>
  <w:style w:type="character" w:styleId="Numrodepage">
    <w:name w:val="page number"/>
    <w:basedOn w:val="Policepardfaut"/>
    <w:rsid w:val="00457F79"/>
  </w:style>
  <w:style w:type="paragraph" w:styleId="Corpsdetexte3">
    <w:name w:val="Body Text 3"/>
    <w:basedOn w:val="Normal"/>
    <w:rsid w:val="00457F79"/>
    <w:pPr>
      <w:jc w:val="both"/>
    </w:pPr>
    <w:rPr>
      <w:sz w:val="28"/>
      <w:szCs w:val="28"/>
    </w:rPr>
  </w:style>
  <w:style w:type="paragraph" w:styleId="Textedebulles">
    <w:name w:val="Balloon Text"/>
    <w:basedOn w:val="Normal"/>
    <w:semiHidden/>
    <w:rsid w:val="00457F79"/>
    <w:rPr>
      <w:rFonts w:ascii="Tahoma" w:hAnsi="Tahoma" w:cs="Wingdings"/>
      <w:sz w:val="16"/>
      <w:szCs w:val="16"/>
    </w:rPr>
  </w:style>
  <w:style w:type="paragraph" w:styleId="Paragraphedeliste">
    <w:name w:val="List Paragraph"/>
    <w:basedOn w:val="Normal"/>
    <w:uiPriority w:val="34"/>
    <w:qFormat/>
    <w:rsid w:val="003C0ACD"/>
    <w:pPr>
      <w:ind w:left="708"/>
    </w:pPr>
  </w:style>
  <w:style w:type="character" w:customStyle="1" w:styleId="Titre1Car">
    <w:name w:val="Titre 1 Car"/>
    <w:link w:val="Titre1"/>
    <w:rsid w:val="00A27B74"/>
    <w:rPr>
      <w:sz w:val="32"/>
      <w:szCs w:val="32"/>
    </w:rPr>
  </w:style>
  <w:style w:type="character" w:customStyle="1" w:styleId="RetraitcorpsdetexteCar">
    <w:name w:val="Retrait corps de texte Car"/>
    <w:link w:val="Retraitcorpsdetexte"/>
    <w:rsid w:val="00A27B74"/>
    <w:rPr>
      <w:sz w:val="28"/>
      <w:szCs w:val="28"/>
    </w:rPr>
  </w:style>
  <w:style w:type="character" w:customStyle="1" w:styleId="En-tteCar">
    <w:name w:val="En-tête Car"/>
    <w:basedOn w:val="Policepardfaut"/>
    <w:link w:val="En-tte"/>
    <w:rsid w:val="00E95E53"/>
  </w:style>
  <w:style w:type="character" w:customStyle="1" w:styleId="CorpsdetexteCar">
    <w:name w:val="Corps de texte Car"/>
    <w:basedOn w:val="Policepardfaut"/>
    <w:link w:val="Corpsdetexte"/>
    <w:rsid w:val="006F52C1"/>
    <w:rPr>
      <w:sz w:val="28"/>
      <w:szCs w:val="28"/>
    </w:rPr>
  </w:style>
  <w:style w:type="paragraph" w:styleId="Explorateurdedocuments">
    <w:name w:val="Document Map"/>
    <w:basedOn w:val="Normal"/>
    <w:link w:val="ExplorateurdedocumentsCar"/>
    <w:semiHidden/>
    <w:rsid w:val="002E41DF"/>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2E41DF"/>
    <w:rPr>
      <w:rFonts w:ascii="Tahoma" w:hAnsi="Tahoma" w:cs="Tahoma"/>
      <w:shd w:val="clear" w:color="auto" w:fill="000080"/>
    </w:rPr>
  </w:style>
  <w:style w:type="paragraph" w:customStyle="1" w:styleId="xl32">
    <w:name w:val="xl32"/>
    <w:basedOn w:val="Normal"/>
    <w:rsid w:val="002E41DF"/>
    <w:pPr>
      <w:pBdr>
        <w:bottom w:val="single" w:sz="8" w:space="0" w:color="auto"/>
      </w:pBdr>
      <w:spacing w:before="100" w:beforeAutospacing="1" w:after="100" w:afterAutospacing="1"/>
      <w:jc w:val="right"/>
      <w:textAlignment w:val="top"/>
    </w:pPr>
    <w:rPr>
      <w:rFonts w:ascii="Arial" w:eastAsia="Arial Unicode MS" w:hAnsi="Arial" w:cs="Arial"/>
      <w:b/>
      <w:bCs/>
      <w:sz w:val="22"/>
      <w:szCs w:val="22"/>
    </w:rPr>
  </w:style>
  <w:style w:type="paragraph" w:customStyle="1" w:styleId="xl33">
    <w:name w:val="xl33"/>
    <w:basedOn w:val="Normal"/>
    <w:rsid w:val="002E41DF"/>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2"/>
    </w:rPr>
  </w:style>
  <w:style w:type="paragraph" w:customStyle="1" w:styleId="xl34">
    <w:name w:val="xl34"/>
    <w:basedOn w:val="Normal"/>
    <w:rsid w:val="002E41DF"/>
    <w:pPr>
      <w:pBdr>
        <w:top w:val="single" w:sz="8" w:space="0" w:color="auto"/>
        <w:lef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2"/>
    </w:rPr>
  </w:style>
  <w:style w:type="paragraph" w:customStyle="1" w:styleId="xl35">
    <w:name w:val="xl35"/>
    <w:basedOn w:val="Normal"/>
    <w:rsid w:val="002E41DF"/>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2"/>
    </w:rPr>
  </w:style>
  <w:style w:type="paragraph" w:customStyle="1" w:styleId="xl36">
    <w:name w:val="xl36"/>
    <w:basedOn w:val="Normal"/>
    <w:rsid w:val="002E41DF"/>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2"/>
    </w:rPr>
  </w:style>
  <w:style w:type="paragraph" w:customStyle="1" w:styleId="xl37">
    <w:name w:val="xl37"/>
    <w:basedOn w:val="Normal"/>
    <w:rsid w:val="002E41DF"/>
    <w:pPr>
      <w:pBdr>
        <w:bottom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2"/>
    </w:rPr>
  </w:style>
  <w:style w:type="paragraph" w:customStyle="1" w:styleId="xl38">
    <w:name w:val="xl38"/>
    <w:basedOn w:val="Normal"/>
    <w:rsid w:val="002E41DF"/>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39">
    <w:name w:val="xl39"/>
    <w:basedOn w:val="Normal"/>
    <w:rsid w:val="002E41DF"/>
    <w:pPr>
      <w:pBdr>
        <w:top w:val="single" w:sz="8"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0">
    <w:name w:val="xl40"/>
    <w:basedOn w:val="Normal"/>
    <w:rsid w:val="002E41DF"/>
    <w:pPr>
      <w:pBdr>
        <w:top w:val="single" w:sz="8"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2E41DF"/>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2E41DF"/>
    <w:pPr>
      <w:pBdr>
        <w:left w:val="single" w:sz="8" w:space="0" w:color="auto"/>
        <w:right w:val="single" w:sz="8" w:space="0" w:color="auto"/>
      </w:pBdr>
      <w:spacing w:before="100" w:beforeAutospacing="1" w:after="100" w:afterAutospacing="1"/>
    </w:pPr>
    <w:rPr>
      <w:rFonts w:ascii="Arial" w:eastAsia="Arial Unicode MS" w:hAnsi="Arial" w:cs="Arial"/>
      <w:b/>
      <w:bCs/>
      <w:color w:val="FF0000"/>
      <w:sz w:val="22"/>
      <w:szCs w:val="22"/>
      <w:u w:val="single"/>
    </w:rPr>
  </w:style>
  <w:style w:type="paragraph" w:customStyle="1" w:styleId="xl43">
    <w:name w:val="xl43"/>
    <w:basedOn w:val="Normal"/>
    <w:rsid w:val="002E41DF"/>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44">
    <w:name w:val="xl44"/>
    <w:basedOn w:val="Normal"/>
    <w:rsid w:val="002E41DF"/>
    <w:pPr>
      <w:pBdr>
        <w:left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45">
    <w:name w:val="xl45"/>
    <w:basedOn w:val="Normal"/>
    <w:rsid w:val="002E41DF"/>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color w:val="FF0000"/>
      <w:sz w:val="22"/>
      <w:szCs w:val="22"/>
      <w:u w:val="single"/>
    </w:rPr>
  </w:style>
  <w:style w:type="paragraph" w:customStyle="1" w:styleId="xl46">
    <w:name w:val="xl46"/>
    <w:basedOn w:val="Normal"/>
    <w:rsid w:val="002E41DF"/>
    <w:pPr>
      <w:spacing w:before="100" w:beforeAutospacing="1" w:after="100" w:afterAutospacing="1"/>
      <w:jc w:val="right"/>
    </w:pPr>
    <w:rPr>
      <w:rFonts w:ascii="Arial" w:eastAsia="Arial Unicode MS" w:hAnsi="Arial" w:cs="Arial"/>
      <w:b/>
      <w:bCs/>
      <w:sz w:val="18"/>
      <w:szCs w:val="18"/>
    </w:rPr>
  </w:style>
  <w:style w:type="paragraph" w:customStyle="1" w:styleId="xl47">
    <w:name w:val="xl47"/>
    <w:basedOn w:val="Normal"/>
    <w:rsid w:val="002E41D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color w:val="008000"/>
      <w:sz w:val="22"/>
      <w:szCs w:val="22"/>
    </w:rPr>
  </w:style>
  <w:style w:type="paragraph" w:customStyle="1" w:styleId="xl48">
    <w:name w:val="xl48"/>
    <w:basedOn w:val="Normal"/>
    <w:rsid w:val="002E41DF"/>
    <w:pPr>
      <w:pBdr>
        <w:right w:val="single" w:sz="4" w:space="0" w:color="auto"/>
      </w:pBdr>
      <w:spacing w:before="100" w:beforeAutospacing="1" w:after="100" w:afterAutospacing="1"/>
      <w:jc w:val="right"/>
    </w:pPr>
    <w:rPr>
      <w:rFonts w:ascii="Arial" w:eastAsia="Arial Unicode MS" w:hAnsi="Arial" w:cs="Arial"/>
      <w:b/>
      <w:bCs/>
      <w:sz w:val="22"/>
      <w:szCs w:val="22"/>
    </w:rPr>
  </w:style>
  <w:style w:type="paragraph" w:customStyle="1" w:styleId="xl49">
    <w:name w:val="xl49"/>
    <w:basedOn w:val="Normal"/>
    <w:rsid w:val="002E41DF"/>
    <w:pPr>
      <w:spacing w:before="100" w:beforeAutospacing="1" w:after="100" w:afterAutospacing="1"/>
      <w:jc w:val="right"/>
    </w:pPr>
    <w:rPr>
      <w:rFonts w:ascii="Arial" w:eastAsia="Arial Unicode MS" w:hAnsi="Arial" w:cs="Arial"/>
      <w:b/>
      <w:bCs/>
      <w:sz w:val="22"/>
      <w:szCs w:val="22"/>
    </w:rPr>
  </w:style>
  <w:style w:type="paragraph" w:customStyle="1" w:styleId="xl50">
    <w:name w:val="xl50"/>
    <w:basedOn w:val="Normal"/>
    <w:rsid w:val="002E41DF"/>
    <w:pPr>
      <w:pBdr>
        <w:left w:val="single" w:sz="8" w:space="0" w:color="auto"/>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xl52">
    <w:name w:val="xl52"/>
    <w:basedOn w:val="Normal"/>
    <w:rsid w:val="002E41DF"/>
    <w:pPr>
      <w:spacing w:before="100" w:beforeAutospacing="1" w:after="100" w:afterAutospacing="1"/>
      <w:jc w:val="right"/>
    </w:pPr>
    <w:rPr>
      <w:rFonts w:ascii="Arial" w:eastAsia="Arial Unicode MS" w:hAnsi="Arial" w:cs="Arial"/>
      <w:b/>
      <w:bCs/>
    </w:rPr>
  </w:style>
  <w:style w:type="paragraph" w:customStyle="1" w:styleId="xl53">
    <w:name w:val="xl53"/>
    <w:basedOn w:val="Normal"/>
    <w:rsid w:val="002E41DF"/>
    <w:pPr>
      <w:pBdr>
        <w:left w:val="single" w:sz="8" w:space="0" w:color="auto"/>
        <w:right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2E41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8000"/>
      <w:sz w:val="22"/>
      <w:szCs w:val="22"/>
    </w:rPr>
  </w:style>
  <w:style w:type="paragraph" w:customStyle="1" w:styleId="xl55">
    <w:name w:val="xl55"/>
    <w:basedOn w:val="Normal"/>
    <w:rsid w:val="002E41D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rFonts w:ascii="Arial" w:eastAsia="Arial Unicode MS" w:hAnsi="Arial" w:cs="Arial"/>
      <w:b/>
      <w:bCs/>
      <w:color w:val="FF0000"/>
      <w:sz w:val="22"/>
      <w:szCs w:val="22"/>
    </w:rPr>
  </w:style>
  <w:style w:type="paragraph" w:customStyle="1" w:styleId="xl56">
    <w:name w:val="xl56"/>
    <w:basedOn w:val="Normal"/>
    <w:rsid w:val="002E41DF"/>
    <w:pPr>
      <w:pBdr>
        <w:top w:val="single" w:sz="8" w:space="0" w:color="auto"/>
        <w:right w:val="single" w:sz="4" w:space="0" w:color="auto"/>
      </w:pBdr>
      <w:spacing w:before="100" w:beforeAutospacing="1" w:after="100" w:afterAutospacing="1"/>
      <w:jc w:val="right"/>
    </w:pPr>
    <w:rPr>
      <w:rFonts w:ascii="Arial" w:eastAsia="Arial Unicode MS" w:hAnsi="Arial" w:cs="Arial"/>
      <w:b/>
      <w:bCs/>
      <w:sz w:val="22"/>
      <w:szCs w:val="22"/>
    </w:rPr>
  </w:style>
  <w:style w:type="paragraph" w:customStyle="1" w:styleId="xl57">
    <w:name w:val="xl57"/>
    <w:basedOn w:val="Normal"/>
    <w:rsid w:val="002E41DF"/>
    <w:pPr>
      <w:pBdr>
        <w:top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xl58">
    <w:name w:val="xl58"/>
    <w:basedOn w:val="Normal"/>
    <w:rsid w:val="002E41DF"/>
    <w:pPr>
      <w:pBdr>
        <w:top w:val="single" w:sz="8" w:space="0" w:color="auto"/>
        <w:left w:val="single" w:sz="8" w:space="0" w:color="auto"/>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xl59">
    <w:name w:val="xl59"/>
    <w:basedOn w:val="Normal"/>
    <w:rsid w:val="002E41DF"/>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8000"/>
      <w:sz w:val="22"/>
      <w:szCs w:val="22"/>
    </w:rPr>
  </w:style>
  <w:style w:type="paragraph" w:customStyle="1" w:styleId="xl60">
    <w:name w:val="xl60"/>
    <w:basedOn w:val="Normal"/>
    <w:rsid w:val="002E41DF"/>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b/>
      <w:bCs/>
      <w:color w:val="008000"/>
      <w:sz w:val="22"/>
      <w:szCs w:val="22"/>
    </w:rPr>
  </w:style>
  <w:style w:type="paragraph" w:customStyle="1" w:styleId="xl61">
    <w:name w:val="xl61"/>
    <w:basedOn w:val="Normal"/>
    <w:rsid w:val="002E41DF"/>
    <w:pPr>
      <w:pBdr>
        <w:bottom w:val="single" w:sz="8" w:space="0" w:color="auto"/>
        <w:right w:val="single" w:sz="4" w:space="0" w:color="auto"/>
      </w:pBdr>
      <w:spacing w:before="100" w:beforeAutospacing="1" w:after="100" w:afterAutospacing="1"/>
      <w:jc w:val="right"/>
    </w:pPr>
    <w:rPr>
      <w:rFonts w:ascii="Arial" w:eastAsia="Arial Unicode MS" w:hAnsi="Arial" w:cs="Arial"/>
      <w:b/>
      <w:bCs/>
      <w:sz w:val="22"/>
      <w:szCs w:val="22"/>
    </w:rPr>
  </w:style>
  <w:style w:type="paragraph" w:customStyle="1" w:styleId="xl62">
    <w:name w:val="xl62"/>
    <w:basedOn w:val="Normal"/>
    <w:rsid w:val="002E41DF"/>
    <w:pPr>
      <w:pBdr>
        <w:bottom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xl63">
    <w:name w:val="xl63"/>
    <w:basedOn w:val="Normal"/>
    <w:rsid w:val="002E41DF"/>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right"/>
      <w:textAlignment w:val="center"/>
    </w:pPr>
    <w:rPr>
      <w:rFonts w:ascii="Arial" w:eastAsia="Arial Unicode MS" w:hAnsi="Arial" w:cs="Arial"/>
      <w:b/>
      <w:bCs/>
      <w:color w:val="FF0000"/>
      <w:sz w:val="22"/>
      <w:szCs w:val="22"/>
      <w:u w:val="single"/>
    </w:rPr>
  </w:style>
  <w:style w:type="paragraph" w:customStyle="1" w:styleId="xl64">
    <w:name w:val="xl64"/>
    <w:basedOn w:val="Normal"/>
    <w:rsid w:val="002E41DF"/>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center"/>
    </w:pPr>
    <w:rPr>
      <w:rFonts w:ascii="Arial" w:eastAsia="Arial Unicode MS" w:hAnsi="Arial" w:cs="Arial"/>
      <w:b/>
      <w:bCs/>
      <w:color w:val="FF0000"/>
      <w:sz w:val="22"/>
      <w:szCs w:val="22"/>
      <w:u w:val="single"/>
    </w:rPr>
  </w:style>
  <w:style w:type="paragraph" w:customStyle="1" w:styleId="xl65">
    <w:name w:val="xl65"/>
    <w:basedOn w:val="Normal"/>
    <w:rsid w:val="002E41DF"/>
    <w:pPr>
      <w:pBdr>
        <w:left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66">
    <w:name w:val="xl66"/>
    <w:basedOn w:val="Normal"/>
    <w:rsid w:val="002E41DF"/>
    <w:pPr>
      <w:spacing w:before="100" w:beforeAutospacing="1" w:after="100" w:afterAutospacing="1"/>
    </w:pPr>
    <w:rPr>
      <w:rFonts w:ascii="Arial" w:eastAsia="Arial Unicode MS" w:hAnsi="Arial" w:cs="Arial"/>
      <w:b/>
      <w:bCs/>
      <w:i/>
      <w:iCs/>
      <w:color w:val="0000FF"/>
      <w:sz w:val="22"/>
      <w:szCs w:val="22"/>
    </w:rPr>
  </w:style>
  <w:style w:type="paragraph" w:customStyle="1" w:styleId="font5">
    <w:name w:val="font5"/>
    <w:basedOn w:val="Normal"/>
    <w:rsid w:val="002E41DF"/>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2E41DF"/>
    <w:pPr>
      <w:spacing w:before="100" w:beforeAutospacing="1" w:after="100" w:afterAutospacing="1"/>
    </w:pPr>
    <w:rPr>
      <w:rFonts w:ascii="Arial" w:eastAsia="Arial Unicode MS" w:hAnsi="Arial" w:cs="Arial"/>
      <w:b/>
      <w:bCs/>
      <w:color w:val="0000FF"/>
      <w:sz w:val="20"/>
      <w:szCs w:val="20"/>
    </w:rPr>
  </w:style>
  <w:style w:type="paragraph" w:customStyle="1" w:styleId="xl51">
    <w:name w:val="xl51"/>
    <w:basedOn w:val="Normal"/>
    <w:rsid w:val="002E41DF"/>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b/>
      <w:bCs/>
      <w:color w:val="008000"/>
      <w:sz w:val="22"/>
      <w:szCs w:val="22"/>
    </w:rPr>
  </w:style>
  <w:style w:type="paragraph" w:customStyle="1" w:styleId="xl67">
    <w:name w:val="xl67"/>
    <w:basedOn w:val="Normal"/>
    <w:rsid w:val="002E41DF"/>
    <w:pPr>
      <w:spacing w:before="100" w:beforeAutospacing="1" w:after="100" w:afterAutospacing="1"/>
    </w:pPr>
    <w:rPr>
      <w:rFonts w:ascii="Arial" w:eastAsia="Arial Unicode MS" w:hAnsi="Arial" w:cs="Arial"/>
      <w:b/>
      <w:bCs/>
    </w:rPr>
  </w:style>
  <w:style w:type="paragraph" w:customStyle="1" w:styleId="xl68">
    <w:name w:val="xl68"/>
    <w:basedOn w:val="Normal"/>
    <w:rsid w:val="002E41DF"/>
    <w:pPr>
      <w:spacing w:before="100" w:beforeAutospacing="1" w:after="100" w:afterAutospacing="1"/>
      <w:jc w:val="center"/>
    </w:pPr>
    <w:rPr>
      <w:rFonts w:ascii="Arial" w:eastAsia="Arial Unicode MS" w:hAnsi="Arial" w:cs="Arial"/>
      <w:b/>
      <w:bCs/>
      <w:color w:val="0000FF"/>
      <w:sz w:val="22"/>
      <w:szCs w:val="22"/>
    </w:rPr>
  </w:style>
  <w:style w:type="paragraph" w:customStyle="1" w:styleId="xl69">
    <w:name w:val="xl69"/>
    <w:basedOn w:val="Normal"/>
    <w:rsid w:val="002E41DF"/>
    <w:pPr>
      <w:spacing w:before="100" w:beforeAutospacing="1" w:after="100" w:afterAutospacing="1"/>
    </w:pPr>
    <w:rPr>
      <w:rFonts w:ascii="Arial" w:eastAsia="Arial Unicode MS" w:hAnsi="Arial" w:cs="Arial"/>
    </w:rPr>
  </w:style>
  <w:style w:type="paragraph" w:customStyle="1" w:styleId="xl70">
    <w:name w:val="xl70"/>
    <w:basedOn w:val="Normal"/>
    <w:rsid w:val="002E41DF"/>
    <w:pPr>
      <w:pBdr>
        <w:top w:val="single" w:sz="8" w:space="0" w:color="auto"/>
        <w:left w:val="single" w:sz="8" w:space="0" w:color="auto"/>
        <w:right w:val="single" w:sz="8" w:space="0" w:color="auto"/>
      </w:pBdr>
      <w:shd w:val="clear" w:color="auto" w:fill="808080"/>
      <w:spacing w:before="100" w:beforeAutospacing="1" w:after="100" w:afterAutospacing="1"/>
      <w:jc w:val="center"/>
    </w:pPr>
    <w:rPr>
      <w:rFonts w:ascii="Arial" w:eastAsia="Arial Unicode MS" w:hAnsi="Arial" w:cs="Arial"/>
      <w:b/>
      <w:bCs/>
    </w:rPr>
  </w:style>
  <w:style w:type="paragraph" w:customStyle="1" w:styleId="xl71">
    <w:name w:val="xl71"/>
    <w:basedOn w:val="Normal"/>
    <w:rsid w:val="002E41DF"/>
    <w:pPr>
      <w:pBdr>
        <w:top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2"/>
    </w:rPr>
  </w:style>
  <w:style w:type="paragraph" w:customStyle="1" w:styleId="xl72">
    <w:name w:val="xl72"/>
    <w:basedOn w:val="Normal"/>
    <w:rsid w:val="002E41DF"/>
    <w:pPr>
      <w:pBdr>
        <w:left w:val="single" w:sz="8" w:space="0" w:color="auto"/>
        <w:bottom w:val="single" w:sz="8" w:space="0" w:color="auto"/>
        <w:right w:val="single" w:sz="8" w:space="0" w:color="auto"/>
      </w:pBdr>
      <w:shd w:val="clear" w:color="auto" w:fill="808080"/>
      <w:spacing w:before="100" w:beforeAutospacing="1" w:after="100" w:afterAutospacing="1"/>
      <w:jc w:val="center"/>
    </w:pPr>
    <w:rPr>
      <w:rFonts w:ascii="Arial" w:eastAsia="Arial Unicode MS" w:hAnsi="Arial" w:cs="Arial"/>
      <w:b/>
      <w:bCs/>
    </w:rPr>
  </w:style>
  <w:style w:type="paragraph" w:customStyle="1" w:styleId="xl73">
    <w:name w:val="xl73"/>
    <w:basedOn w:val="Normal"/>
    <w:rsid w:val="002E41DF"/>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4">
    <w:name w:val="xl74"/>
    <w:basedOn w:val="Normal"/>
    <w:rsid w:val="002E41DF"/>
    <w:pPr>
      <w:pBdr>
        <w:left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75">
    <w:name w:val="xl75"/>
    <w:basedOn w:val="Normal"/>
    <w:rsid w:val="002E41DF"/>
    <w:pPr>
      <w:pBdr>
        <w:left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76">
    <w:name w:val="xl76"/>
    <w:basedOn w:val="Normal"/>
    <w:rsid w:val="002E41DF"/>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eastAsia="Arial Unicode MS" w:hAnsi="Arial" w:cs="Arial"/>
      <w:b/>
      <w:bCs/>
      <w:color w:val="008000"/>
    </w:rPr>
  </w:style>
  <w:style w:type="paragraph" w:customStyle="1" w:styleId="xl77">
    <w:name w:val="xl77"/>
    <w:basedOn w:val="Normal"/>
    <w:rsid w:val="002E41DF"/>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8">
    <w:name w:val="xl78"/>
    <w:basedOn w:val="Normal"/>
    <w:rsid w:val="002E41DF"/>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79">
    <w:name w:val="xl79"/>
    <w:basedOn w:val="Normal"/>
    <w:rsid w:val="002E41DF"/>
    <w:pPr>
      <w:pBdr>
        <w:top w:val="single" w:sz="8" w:space="0" w:color="auto"/>
        <w:bottom w:val="single" w:sz="8" w:space="0" w:color="auto"/>
      </w:pBdr>
      <w:shd w:val="clear" w:color="auto" w:fill="C0C0C0"/>
      <w:spacing w:before="100" w:beforeAutospacing="1" w:after="100" w:afterAutospacing="1"/>
      <w:jc w:val="right"/>
      <w:textAlignment w:val="center"/>
    </w:pPr>
    <w:rPr>
      <w:rFonts w:ascii="Arial" w:eastAsia="Arial Unicode MS" w:hAnsi="Arial" w:cs="Arial"/>
      <w:b/>
      <w:bCs/>
      <w:color w:val="FF0000"/>
      <w:sz w:val="22"/>
      <w:szCs w:val="22"/>
      <w:u w:val="single"/>
    </w:rPr>
  </w:style>
  <w:style w:type="paragraph" w:customStyle="1" w:styleId="xl80">
    <w:name w:val="xl80"/>
    <w:basedOn w:val="Normal"/>
    <w:rsid w:val="002E41DF"/>
    <w:pPr>
      <w:pBdr>
        <w:left w:val="single" w:sz="8" w:space="0" w:color="auto"/>
        <w:bottom w:val="single" w:sz="8" w:space="0" w:color="auto"/>
        <w:right w:val="single" w:sz="8" w:space="0" w:color="auto"/>
      </w:pBdr>
      <w:shd w:val="clear" w:color="auto" w:fill="C0C0C0"/>
      <w:spacing w:before="100" w:beforeAutospacing="1" w:after="100" w:afterAutospacing="1"/>
      <w:jc w:val="right"/>
      <w:textAlignment w:val="center"/>
    </w:pPr>
    <w:rPr>
      <w:rFonts w:ascii="Arial" w:eastAsia="Arial Unicode MS" w:hAnsi="Arial" w:cs="Arial"/>
      <w:b/>
      <w:bCs/>
      <w:color w:val="FF0000"/>
      <w:sz w:val="22"/>
      <w:szCs w:val="22"/>
      <w:u w:val="single"/>
    </w:rPr>
  </w:style>
  <w:style w:type="paragraph" w:customStyle="1" w:styleId="xl81">
    <w:name w:val="xl81"/>
    <w:basedOn w:val="Normal"/>
    <w:rsid w:val="002E41DF"/>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rsid w:val="002E41DF"/>
    <w:pPr>
      <w:pBdr>
        <w:right w:val="single" w:sz="8" w:space="0" w:color="auto"/>
      </w:pBdr>
      <w:spacing w:before="100" w:beforeAutospacing="1" w:after="100" w:afterAutospacing="1"/>
    </w:pPr>
    <w:rPr>
      <w:rFonts w:ascii="Arial" w:eastAsia="Arial Unicode MS" w:hAnsi="Arial" w:cs="Arial"/>
      <w:sz w:val="14"/>
      <w:szCs w:val="14"/>
    </w:rPr>
  </w:style>
  <w:style w:type="paragraph" w:customStyle="1" w:styleId="xl83">
    <w:name w:val="xl83"/>
    <w:basedOn w:val="Normal"/>
    <w:rsid w:val="002E41DF"/>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84">
    <w:name w:val="xl84"/>
    <w:basedOn w:val="Normal"/>
    <w:rsid w:val="002E41DF"/>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4"/>
      <w:szCs w:val="14"/>
    </w:rPr>
  </w:style>
  <w:style w:type="paragraph" w:customStyle="1" w:styleId="xl85">
    <w:name w:val="xl85"/>
    <w:basedOn w:val="Normal"/>
    <w:rsid w:val="002E41DF"/>
    <w:pPr>
      <w:pBdr>
        <w:bottom w:val="single" w:sz="8" w:space="0" w:color="auto"/>
        <w:right w:val="single" w:sz="8" w:space="0" w:color="auto"/>
      </w:pBdr>
      <w:spacing w:before="100" w:beforeAutospacing="1" w:after="100" w:afterAutospacing="1"/>
    </w:pPr>
    <w:rPr>
      <w:rFonts w:ascii="Arial" w:eastAsia="Arial Unicode MS" w:hAnsi="Arial" w:cs="Arial"/>
      <w:sz w:val="14"/>
      <w:szCs w:val="14"/>
    </w:rPr>
  </w:style>
  <w:style w:type="paragraph" w:customStyle="1" w:styleId="xl86">
    <w:name w:val="xl86"/>
    <w:basedOn w:val="Normal"/>
    <w:rsid w:val="002E41DF"/>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color w:val="FF0000"/>
      <w:sz w:val="14"/>
      <w:szCs w:val="14"/>
    </w:rPr>
  </w:style>
  <w:style w:type="paragraph" w:customStyle="1" w:styleId="xl87">
    <w:name w:val="xl87"/>
    <w:basedOn w:val="Normal"/>
    <w:rsid w:val="002E41DF"/>
    <w:pPr>
      <w:pBdr>
        <w:top w:val="single" w:sz="8" w:space="0" w:color="auto"/>
        <w:left w:val="single" w:sz="8" w:space="31" w:color="auto"/>
        <w:bottom w:val="single" w:sz="8" w:space="0" w:color="auto"/>
      </w:pBdr>
      <w:shd w:val="clear" w:color="auto" w:fill="C0C0C0"/>
      <w:spacing w:before="100" w:beforeAutospacing="1" w:after="100" w:afterAutospacing="1"/>
      <w:ind w:firstLineChars="400" w:firstLine="400"/>
      <w:textAlignment w:val="center"/>
    </w:pPr>
    <w:rPr>
      <w:rFonts w:ascii="Arial" w:eastAsia="Arial Unicode MS" w:hAnsi="Arial" w:cs="Arial"/>
      <w:b/>
      <w:bCs/>
      <w:color w:val="FF0000"/>
      <w:sz w:val="14"/>
      <w:szCs w:val="14"/>
    </w:rPr>
  </w:style>
  <w:style w:type="paragraph" w:customStyle="1" w:styleId="xl88">
    <w:name w:val="xl88"/>
    <w:basedOn w:val="Normal"/>
    <w:rsid w:val="002E41DF"/>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eastAsia="Arial Unicode MS" w:hAnsi="Arial" w:cs="Arial"/>
      <w:b/>
      <w:bCs/>
      <w:color w:val="FF0000"/>
      <w:sz w:val="14"/>
      <w:szCs w:val="14"/>
    </w:rPr>
  </w:style>
  <w:style w:type="paragraph" w:customStyle="1" w:styleId="xl89">
    <w:name w:val="xl89"/>
    <w:basedOn w:val="Normal"/>
    <w:rsid w:val="002E41DF"/>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eastAsia="Arial Unicode MS" w:hAnsi="Arial" w:cs="Arial"/>
      <w:b/>
      <w:bCs/>
      <w:color w:val="FF0000"/>
      <w:sz w:val="14"/>
      <w:szCs w:val="14"/>
    </w:rPr>
  </w:style>
  <w:style w:type="table" w:styleId="Grilledutableau">
    <w:name w:val="Table Grid"/>
    <w:basedOn w:val="TableauNormal"/>
    <w:uiPriority w:val="59"/>
    <w:rsid w:val="002E41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0A20A7"/>
  </w:style>
  <w:style w:type="character" w:customStyle="1" w:styleId="Titre10">
    <w:name w:val="Titre #1_"/>
    <w:basedOn w:val="Policepardfaut"/>
    <w:link w:val="Titre11"/>
    <w:rsid w:val="000D6D2C"/>
    <w:rPr>
      <w:rFonts w:ascii="Century Gothic" w:eastAsia="Century Gothic" w:hAnsi="Century Gothic" w:cs="Century Gothic"/>
      <w:b/>
      <w:bCs/>
      <w:sz w:val="44"/>
      <w:szCs w:val="44"/>
      <w:lang w:val="en-US" w:eastAsia="en-US" w:bidi="en-US"/>
    </w:rPr>
  </w:style>
  <w:style w:type="character" w:customStyle="1" w:styleId="Titre20">
    <w:name w:val="Titre #2_"/>
    <w:basedOn w:val="Policepardfaut"/>
    <w:link w:val="Titre21"/>
    <w:rsid w:val="000D6D2C"/>
    <w:rPr>
      <w:rFonts w:ascii="Century Gothic" w:eastAsia="Century Gothic" w:hAnsi="Century Gothic" w:cs="Century Gothic"/>
      <w:b/>
      <w:bCs/>
      <w:color w:val="FF0000"/>
      <w:sz w:val="28"/>
      <w:szCs w:val="28"/>
      <w:u w:val="single"/>
    </w:rPr>
  </w:style>
  <w:style w:type="character" w:customStyle="1" w:styleId="Texteducorps">
    <w:name w:val="Texte du corps_"/>
    <w:basedOn w:val="Policepardfaut"/>
    <w:link w:val="Texteducorps0"/>
    <w:rsid w:val="000D6D2C"/>
    <w:rPr>
      <w:b/>
      <w:bCs/>
      <w:sz w:val="28"/>
      <w:szCs w:val="28"/>
      <w:u w:val="single"/>
    </w:rPr>
  </w:style>
  <w:style w:type="paragraph" w:customStyle="1" w:styleId="Titre11">
    <w:name w:val="Titre #1"/>
    <w:basedOn w:val="Normal"/>
    <w:link w:val="Titre10"/>
    <w:rsid w:val="000D6D2C"/>
    <w:pPr>
      <w:widowControl w:val="0"/>
      <w:spacing w:after="420"/>
      <w:jc w:val="center"/>
      <w:outlineLvl w:val="0"/>
    </w:pPr>
    <w:rPr>
      <w:rFonts w:ascii="Century Gothic" w:eastAsia="Century Gothic" w:hAnsi="Century Gothic" w:cs="Century Gothic"/>
      <w:b/>
      <w:bCs/>
      <w:sz w:val="44"/>
      <w:szCs w:val="44"/>
      <w:lang w:val="en-US" w:eastAsia="en-US" w:bidi="en-US"/>
    </w:rPr>
  </w:style>
  <w:style w:type="paragraph" w:customStyle="1" w:styleId="Titre21">
    <w:name w:val="Titre #2"/>
    <w:basedOn w:val="Normal"/>
    <w:link w:val="Titre20"/>
    <w:rsid w:val="000D6D2C"/>
    <w:pPr>
      <w:widowControl w:val="0"/>
      <w:spacing w:after="500"/>
      <w:ind w:left="370"/>
      <w:outlineLvl w:val="1"/>
    </w:pPr>
    <w:rPr>
      <w:rFonts w:ascii="Century Gothic" w:eastAsia="Century Gothic" w:hAnsi="Century Gothic" w:cs="Century Gothic"/>
      <w:b/>
      <w:bCs/>
      <w:color w:val="FF0000"/>
      <w:sz w:val="28"/>
      <w:szCs w:val="28"/>
      <w:u w:val="single"/>
    </w:rPr>
  </w:style>
  <w:style w:type="paragraph" w:customStyle="1" w:styleId="Texteducorps0">
    <w:name w:val="Texte du corps"/>
    <w:basedOn w:val="Normal"/>
    <w:link w:val="Texteducorps"/>
    <w:rsid w:val="000D6D2C"/>
    <w:pPr>
      <w:widowControl w:val="0"/>
      <w:spacing w:after="280"/>
      <w:ind w:firstLine="280"/>
    </w:pPr>
    <w:rPr>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7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D9CE-BCC5-4B2A-B50F-49C548BD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2654</TotalTime>
  <Pages>36</Pages>
  <Words>10263</Words>
  <Characters>61381</Characters>
  <Application>Microsoft Office Word</Application>
  <DocSecurity>0</DocSecurity>
  <Lines>511</Lines>
  <Paragraphs>143</Paragraphs>
  <ScaleCrop>false</ScaleCrop>
  <HeadingPairs>
    <vt:vector size="2" baseType="variant">
      <vt:variant>
        <vt:lpstr>Titre</vt:lpstr>
      </vt:variant>
      <vt:variant>
        <vt:i4>1</vt:i4>
      </vt:variant>
    </vt:vector>
  </HeadingPairs>
  <TitlesOfParts>
    <vt:vector size="1" baseType="lpstr">
      <vt:lpstr/>
    </vt:vector>
  </TitlesOfParts>
  <Company>LACAMORA</Company>
  <LinksUpToDate>false</LinksUpToDate>
  <CharactersWithSpaces>71501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 MADJID BERKAT</dc:creator>
  <cp:lastModifiedBy>Houcine KERBOUB</cp:lastModifiedBy>
  <cp:revision>96</cp:revision>
  <cp:lastPrinted>2022-10-30T09:14:00Z</cp:lastPrinted>
  <dcterms:created xsi:type="dcterms:W3CDTF">2020-11-11T10:21:00Z</dcterms:created>
  <dcterms:modified xsi:type="dcterms:W3CDTF">2022-11-09T16:34:00Z</dcterms:modified>
</cp:coreProperties>
</file>